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702FF" w14:textId="5136A5AC" w:rsidR="00536042" w:rsidRPr="009A351D" w:rsidRDefault="00536042" w:rsidP="0053604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B500DA">
        <w:rPr>
          <w:rFonts w:cs="Arial"/>
          <w:sz w:val="24"/>
          <w:szCs w:val="24"/>
        </w:rPr>
        <w:t>4</w:t>
      </w:r>
      <w:r w:rsidRPr="009A351D">
        <w:rPr>
          <w:rFonts w:cs="Arial"/>
          <w:i/>
          <w:sz w:val="24"/>
          <w:szCs w:val="24"/>
        </w:rPr>
        <w:tab/>
      </w:r>
      <w:r w:rsidR="008F1A39" w:rsidRPr="008F1A39">
        <w:rPr>
          <w:rFonts w:cs="Arial"/>
          <w:sz w:val="24"/>
          <w:szCs w:val="24"/>
          <w:lang w:val="en-US"/>
        </w:rPr>
        <w:t>R4-2500732</w:t>
      </w:r>
    </w:p>
    <w:p w14:paraId="250F1D14" w14:textId="77777777" w:rsidR="00D3553B" w:rsidRPr="00F542A0" w:rsidRDefault="00D3553B" w:rsidP="00D3553B">
      <w:pPr>
        <w:pStyle w:val="a5"/>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06F804A0" w14:textId="77777777" w:rsidR="001F5D6A" w:rsidRPr="00275694" w:rsidRDefault="0026008D" w:rsidP="0026008D">
      <w:pPr>
        <w:tabs>
          <w:tab w:val="left" w:pos="6325"/>
        </w:tabs>
        <w:rPr>
          <w:rFonts w:eastAsia="宋体"/>
          <w:lang w:eastAsia="zh-CN"/>
        </w:rPr>
      </w:pPr>
      <w:r>
        <w:rPr>
          <w:rFonts w:eastAsia="宋体"/>
          <w:lang w:eastAsia="zh-CN"/>
        </w:rPr>
        <w:tab/>
      </w:r>
    </w:p>
    <w:p w14:paraId="73D61DB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83E6957"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C5766" w:rsidRPr="00EC5766">
        <w:rPr>
          <w:rFonts w:ascii="Arial" w:hAnsi="Arial" w:cs="Arial"/>
          <w:sz w:val="22"/>
        </w:rPr>
        <w:t xml:space="preserve">Further discussion on HPUE for intra-band contiguous and non-contiguous CA </w:t>
      </w:r>
    </w:p>
    <w:p w14:paraId="0D5C1EA0" w14:textId="3661F01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E42AD">
        <w:rPr>
          <w:rFonts w:ascii="Arial" w:hAnsi="Arial" w:cs="Arial"/>
          <w:sz w:val="22"/>
          <w:lang w:val="en-US"/>
        </w:rPr>
        <w:t>7</w:t>
      </w:r>
      <w:r w:rsidR="00EC5766">
        <w:rPr>
          <w:rFonts w:ascii="Arial" w:hAnsi="Arial" w:cs="Arial"/>
          <w:sz w:val="22"/>
          <w:lang w:val="en-US"/>
        </w:rPr>
        <w:t>.1.1.</w:t>
      </w:r>
      <w:r w:rsidR="00EC1A50">
        <w:rPr>
          <w:rFonts w:ascii="Arial" w:hAnsi="Arial" w:cs="Arial"/>
          <w:sz w:val="22"/>
          <w:lang w:val="en-US"/>
        </w:rPr>
        <w:t>1</w:t>
      </w:r>
      <w:r w:rsidR="00EC5766">
        <w:rPr>
          <w:rFonts w:ascii="Arial" w:hAnsi="Arial" w:cs="Arial"/>
          <w:sz w:val="22"/>
          <w:lang w:val="en-US"/>
        </w:rPr>
        <w:t>.</w:t>
      </w:r>
      <w:r w:rsidR="00A30DE1">
        <w:rPr>
          <w:rFonts w:ascii="Arial" w:hAnsi="Arial" w:cs="Arial"/>
          <w:sz w:val="22"/>
          <w:lang w:val="en-US"/>
        </w:rPr>
        <w:t xml:space="preserve">2     </w:t>
      </w:r>
    </w:p>
    <w:p w14:paraId="220FA8E2"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4DCEA7E3" w14:textId="77777777" w:rsidR="00FC0076" w:rsidRDefault="00E52C47" w:rsidP="004065E5">
      <w:pPr>
        <w:pStyle w:val="1"/>
        <w:rPr>
          <w:rFonts w:eastAsia="宋体"/>
          <w:lang w:eastAsia="zh-CN"/>
        </w:rPr>
      </w:pPr>
      <w:r>
        <w:rPr>
          <w:rFonts w:eastAsia="宋体" w:hint="eastAsia"/>
          <w:lang w:eastAsia="zh-CN"/>
        </w:rPr>
        <w:t>Introduction</w:t>
      </w:r>
    </w:p>
    <w:p w14:paraId="2F47858A" w14:textId="39FCD732" w:rsidR="00B45EDF" w:rsidRDefault="000E0647" w:rsidP="00B45EDF">
      <w:pPr>
        <w:jc w:val="both"/>
        <w:rPr>
          <w:rFonts w:eastAsia="等线"/>
          <w:lang w:eastAsia="zh-CN"/>
        </w:rPr>
      </w:pPr>
      <w:r>
        <w:rPr>
          <w:rFonts w:eastAsia="等线"/>
          <w:lang w:eastAsia="zh-CN"/>
        </w:rPr>
        <w:t xml:space="preserve">In the last meeting, RAN4 </w:t>
      </w:r>
      <w:r w:rsidR="001A5317">
        <w:rPr>
          <w:rFonts w:eastAsia="等线"/>
          <w:lang w:eastAsia="zh-CN"/>
        </w:rPr>
        <w:t xml:space="preserve">further </w:t>
      </w:r>
      <w:r w:rsidR="00346CA6">
        <w:rPr>
          <w:rFonts w:eastAsia="等线"/>
          <w:lang w:eastAsia="zh-CN"/>
        </w:rPr>
        <w:t xml:space="preserve">discussed </w:t>
      </w:r>
      <w:r w:rsidR="003D7E74">
        <w:rPr>
          <w:rFonts w:eastAsia="等线"/>
          <w:lang w:eastAsia="zh-CN"/>
        </w:rPr>
        <w:t xml:space="preserve">MPR evaluation methodology and </w:t>
      </w:r>
      <w:proofErr w:type="gramStart"/>
      <w:r w:rsidR="003D7E74">
        <w:rPr>
          <w:rFonts w:eastAsia="等线"/>
          <w:lang w:eastAsia="zh-CN"/>
        </w:rPr>
        <w:t>Pcmax,c</w:t>
      </w:r>
      <w:proofErr w:type="gramEnd"/>
      <w:r w:rsidR="003D7E74">
        <w:rPr>
          <w:rFonts w:eastAsia="等线"/>
          <w:lang w:eastAsia="zh-CN"/>
        </w:rPr>
        <w:t xml:space="preserve">/Pcmax </w:t>
      </w:r>
      <w:r w:rsidR="003D7E74">
        <w:rPr>
          <w:rFonts w:eastAsia="等线" w:hint="eastAsia"/>
          <w:lang w:eastAsia="zh-CN"/>
        </w:rPr>
        <w:t>issue</w:t>
      </w:r>
      <w:r>
        <w:rPr>
          <w:rFonts w:eastAsia="等线"/>
          <w:lang w:eastAsia="zh-CN"/>
        </w:rPr>
        <w:t xml:space="preserve"> on PC1.5 for intra-band contiguous and non-contiguous and the WF was captured in [</w:t>
      </w:r>
      <w:r w:rsidR="002648C0">
        <w:rPr>
          <w:rFonts w:eastAsia="等线"/>
          <w:lang w:eastAsia="zh-CN"/>
        </w:rPr>
        <w:t>1</w:t>
      </w:r>
      <w:r>
        <w:rPr>
          <w:rFonts w:eastAsia="等线"/>
          <w:lang w:eastAsia="zh-CN"/>
        </w:rPr>
        <w:t xml:space="preserve">]. </w:t>
      </w:r>
      <w:r w:rsidR="00B45EDF">
        <w:rPr>
          <w:rFonts w:eastAsia="等线" w:hint="eastAsia"/>
          <w:lang w:eastAsia="zh-CN"/>
        </w:rPr>
        <w:t>I</w:t>
      </w:r>
      <w:r w:rsidR="00B45EDF">
        <w:rPr>
          <w:rFonts w:eastAsia="等线"/>
          <w:lang w:eastAsia="zh-CN"/>
        </w:rPr>
        <w:t>n the summary [</w:t>
      </w:r>
      <w:hyperlink r:id="rId8" w:history="1">
        <w:r w:rsidR="001B374D">
          <w:rPr>
            <w:rFonts w:eastAsia="等线"/>
            <w:lang w:eastAsia="zh-CN"/>
          </w:rPr>
          <w:t>3</w:t>
        </w:r>
      </w:hyperlink>
      <w:r w:rsidR="00B45EDF">
        <w:rPr>
          <w:rFonts w:eastAsia="等线"/>
          <w:lang w:eastAsia="zh-CN"/>
        </w:rPr>
        <w:t xml:space="preserve">], more simulation results and more ways to derive MPR was raised and collected in. However, no conclusion was made. The PSD assumption and MPR applicability was also discussed. In addition, the </w:t>
      </w:r>
      <w:proofErr w:type="gramStart"/>
      <w:r w:rsidR="00B45EDF">
        <w:rPr>
          <w:rFonts w:eastAsia="等线" w:hint="eastAsia"/>
          <w:lang w:eastAsia="zh-CN"/>
        </w:rPr>
        <w:t>Pcmax</w:t>
      </w:r>
      <w:r w:rsidR="00B45EDF">
        <w:rPr>
          <w:rFonts w:eastAsia="等线"/>
          <w:lang w:eastAsia="zh-CN"/>
        </w:rPr>
        <w:t>,c</w:t>
      </w:r>
      <w:proofErr w:type="gramEnd"/>
      <w:r w:rsidR="00B45EDF">
        <w:rPr>
          <w:rFonts w:eastAsia="等线"/>
          <w:lang w:eastAsia="zh-CN"/>
        </w:rPr>
        <w:t xml:space="preserve"> </w:t>
      </w:r>
      <w:r w:rsidR="00B45EDF">
        <w:rPr>
          <w:rFonts w:eastAsia="等线" w:hint="eastAsia"/>
          <w:lang w:eastAsia="zh-CN"/>
        </w:rPr>
        <w:t>a</w:t>
      </w:r>
      <w:r w:rsidR="00B45EDF">
        <w:rPr>
          <w:rFonts w:eastAsia="等线"/>
          <w:lang w:eastAsia="zh-CN"/>
        </w:rPr>
        <w:t>nd Pcmax for intra-band NC ULCA(with dualPA) were also discussed.</w:t>
      </w:r>
    </w:p>
    <w:p w14:paraId="0C0B9BBD" w14:textId="1354C276" w:rsidR="007223D0" w:rsidRPr="00CD1BB9" w:rsidRDefault="000E0647" w:rsidP="000E0647">
      <w:pPr>
        <w:jc w:val="both"/>
        <w:rPr>
          <w:rFonts w:eastAsia="等线"/>
          <w:lang w:eastAsia="zh-CN"/>
        </w:rPr>
      </w:pPr>
      <w:r>
        <w:rPr>
          <w:rFonts w:eastAsia="等线"/>
          <w:lang w:eastAsia="zh-CN"/>
        </w:rPr>
        <w:t>In this contribution, we will continue on the discussion on PC1.5 for intra-band contiguous and non-contiguous CA.</w:t>
      </w:r>
      <w:r w:rsidR="0088734D">
        <w:rPr>
          <w:rFonts w:eastAsia="等线"/>
          <w:lang w:eastAsia="zh-CN"/>
        </w:rPr>
        <w:t xml:space="preserve"> </w:t>
      </w:r>
    </w:p>
    <w:p w14:paraId="2F7FDA14" w14:textId="229A03B7" w:rsidR="00F701CA" w:rsidRPr="005430FE" w:rsidRDefault="00853ECB" w:rsidP="00F701CA">
      <w:pPr>
        <w:pStyle w:val="1"/>
        <w:rPr>
          <w:rFonts w:eastAsia="宋体"/>
          <w:lang w:eastAsia="zh-CN"/>
        </w:rPr>
      </w:pPr>
      <w:r>
        <w:rPr>
          <w:rFonts w:eastAsia="宋体" w:hint="eastAsia"/>
          <w:lang w:eastAsia="zh-CN"/>
        </w:rPr>
        <w:t>Discussion</w:t>
      </w:r>
    </w:p>
    <w:p w14:paraId="650F08E7" w14:textId="512760F8" w:rsidR="003379E7" w:rsidRDefault="003379E7" w:rsidP="00052BD8">
      <w:pPr>
        <w:rPr>
          <w:rFonts w:eastAsia="等线"/>
          <w:lang w:eastAsia="zh-CN"/>
        </w:rPr>
      </w:pPr>
      <w:r>
        <w:rPr>
          <w:rFonts w:eastAsia="等线"/>
          <w:lang w:eastAsia="zh-CN"/>
        </w:rPr>
        <w:t>The WF for MPR evaluation was captured as follows:</w:t>
      </w:r>
    </w:p>
    <w:tbl>
      <w:tblPr>
        <w:tblStyle w:val="aff0"/>
        <w:tblW w:w="0" w:type="auto"/>
        <w:tblInd w:w="704" w:type="dxa"/>
        <w:tblLook w:val="04A0" w:firstRow="1" w:lastRow="0" w:firstColumn="1" w:lastColumn="0" w:noHBand="0" w:noVBand="1"/>
      </w:tblPr>
      <w:tblGrid>
        <w:gridCol w:w="8222"/>
      </w:tblGrid>
      <w:tr w:rsidR="00ED1F4E" w14:paraId="47F6B5E0" w14:textId="77777777" w:rsidTr="001E4C41">
        <w:tc>
          <w:tcPr>
            <w:tcW w:w="8222" w:type="dxa"/>
          </w:tcPr>
          <w:p w14:paraId="2629F4EB" w14:textId="77777777" w:rsidR="008B621D" w:rsidRPr="001B374D" w:rsidRDefault="008B621D" w:rsidP="008B621D">
            <w:pPr>
              <w:keepNext/>
              <w:keepLines/>
              <w:spacing w:before="180"/>
              <w:textAlignment w:val="auto"/>
              <w:outlineLvl w:val="1"/>
              <w:rPr>
                <w:rFonts w:ascii="Arial" w:hAnsi="Arial"/>
                <w:i/>
                <w:iCs/>
                <w:sz w:val="21"/>
                <w:szCs w:val="16"/>
                <w:highlight w:val="lightGray"/>
                <w:lang w:eastAsia="en-GB"/>
              </w:rPr>
            </w:pPr>
            <w:r w:rsidRPr="001B374D">
              <w:rPr>
                <w:rFonts w:ascii="Arial" w:hAnsi="Arial"/>
                <w:i/>
                <w:iCs/>
                <w:sz w:val="21"/>
                <w:szCs w:val="16"/>
                <w:highlight w:val="lightGray"/>
                <w:lang w:eastAsia="en-GB"/>
              </w:rPr>
              <w:t>1.1 MPR values for intra-band contiguous ULCA (with TxD)</w:t>
            </w:r>
          </w:p>
          <w:p w14:paraId="32A5AFE4" w14:textId="77777777" w:rsidR="008B621D" w:rsidRPr="001B374D" w:rsidRDefault="008B621D" w:rsidP="008B621D">
            <w:pPr>
              <w:textAlignment w:val="auto"/>
              <w:rPr>
                <w:rFonts w:eastAsia="等线"/>
                <w:b/>
                <w:bCs/>
                <w:i/>
                <w:iCs/>
                <w:sz w:val="16"/>
                <w:szCs w:val="16"/>
                <w:highlight w:val="lightGray"/>
                <w:lang w:eastAsia="en-GB"/>
              </w:rPr>
            </w:pPr>
            <w:r w:rsidRPr="001B374D">
              <w:rPr>
                <w:rFonts w:eastAsia="等线"/>
                <w:b/>
                <w:bCs/>
                <w:i/>
                <w:iCs/>
                <w:sz w:val="16"/>
                <w:szCs w:val="16"/>
                <w:highlight w:val="lightGray"/>
                <w:lang w:eastAsia="en-GB"/>
              </w:rPr>
              <w:t xml:space="preserve">Agreement: </w:t>
            </w:r>
          </w:p>
          <w:p w14:paraId="19599379" w14:textId="77777777" w:rsidR="008B621D" w:rsidRPr="001B374D" w:rsidRDefault="008B621D" w:rsidP="008B621D">
            <w:pPr>
              <w:numPr>
                <w:ilvl w:val="0"/>
                <w:numId w:val="37"/>
              </w:numPr>
              <w:textAlignment w:val="auto"/>
              <w:rPr>
                <w:i/>
                <w:iCs/>
                <w:sz w:val="16"/>
                <w:szCs w:val="16"/>
                <w:highlight w:val="lightGray"/>
                <w:lang w:val="en-US" w:eastAsia="zh-CN"/>
              </w:rPr>
            </w:pPr>
            <w:r w:rsidRPr="001B374D">
              <w:rPr>
                <w:i/>
                <w:iCs/>
                <w:sz w:val="16"/>
                <w:szCs w:val="16"/>
                <w:highlight w:val="lightGray"/>
                <w:lang w:val="en-US" w:eastAsia="zh-CN"/>
              </w:rPr>
              <w:t>Class B would not be urgent. As common understanding, RAN4 will work on Class C in this Rel-19 WID</w:t>
            </w:r>
          </w:p>
          <w:p w14:paraId="20AA3E96" w14:textId="040C6D6F" w:rsidR="008B621D" w:rsidRPr="001B374D" w:rsidRDefault="008B621D" w:rsidP="00A32E85">
            <w:pPr>
              <w:numPr>
                <w:ilvl w:val="0"/>
                <w:numId w:val="37"/>
              </w:numPr>
              <w:overflowPunct/>
              <w:autoSpaceDE/>
              <w:adjustRightInd/>
              <w:spacing w:after="120"/>
              <w:textAlignment w:val="auto"/>
              <w:rPr>
                <w:rFonts w:eastAsia="等线"/>
                <w:i/>
                <w:iCs/>
                <w:sz w:val="16"/>
                <w:szCs w:val="16"/>
                <w:highlight w:val="lightGray"/>
                <w:lang w:val="en-US" w:eastAsia="zh-CN"/>
              </w:rPr>
            </w:pPr>
            <w:r w:rsidRPr="001B374D">
              <w:rPr>
                <w:i/>
                <w:iCs/>
                <w:sz w:val="16"/>
                <w:szCs w:val="16"/>
                <w:highlight w:val="lightGray"/>
                <w:lang w:val="en-US" w:eastAsia="zh-CN"/>
              </w:rPr>
              <w:t>Companies are encouraged to provide the MPR values for both handheld UE and FWA in next meeting</w:t>
            </w:r>
          </w:p>
          <w:p w14:paraId="3E2FD1A4" w14:textId="77777777" w:rsidR="008B621D" w:rsidRPr="001B374D" w:rsidRDefault="008B621D" w:rsidP="008B621D">
            <w:pPr>
              <w:keepNext/>
              <w:keepLines/>
              <w:spacing w:before="180"/>
              <w:textAlignment w:val="auto"/>
              <w:outlineLvl w:val="1"/>
              <w:rPr>
                <w:rFonts w:ascii="Arial" w:hAnsi="Arial"/>
                <w:i/>
                <w:iCs/>
                <w:sz w:val="21"/>
                <w:szCs w:val="16"/>
                <w:highlight w:val="lightGray"/>
                <w:lang w:eastAsia="en-GB"/>
              </w:rPr>
            </w:pPr>
            <w:r w:rsidRPr="001B374D">
              <w:rPr>
                <w:rFonts w:ascii="Arial" w:hAnsi="Arial"/>
                <w:i/>
                <w:iCs/>
                <w:sz w:val="21"/>
                <w:szCs w:val="16"/>
                <w:highlight w:val="lightGray"/>
                <w:lang w:eastAsia="en-GB"/>
              </w:rPr>
              <w:t>1.2 PSD assumption to derive MPR/A-MPR requirements for intra-band NC ULCA (with dualPA)</w:t>
            </w:r>
          </w:p>
          <w:p w14:paraId="4B8A4F8D" w14:textId="77777777" w:rsidR="008B621D" w:rsidRPr="001B374D" w:rsidRDefault="008B621D" w:rsidP="008B621D">
            <w:pPr>
              <w:textAlignment w:val="auto"/>
              <w:rPr>
                <w:rFonts w:eastAsia="等线"/>
                <w:b/>
                <w:bCs/>
                <w:i/>
                <w:iCs/>
                <w:sz w:val="16"/>
                <w:szCs w:val="16"/>
                <w:highlight w:val="lightGray"/>
                <w:lang w:eastAsia="en-GB"/>
              </w:rPr>
            </w:pPr>
            <w:r w:rsidRPr="001B374D">
              <w:rPr>
                <w:rFonts w:eastAsia="等线"/>
                <w:b/>
                <w:bCs/>
                <w:i/>
                <w:iCs/>
                <w:sz w:val="16"/>
                <w:szCs w:val="16"/>
                <w:highlight w:val="lightGray"/>
                <w:lang w:eastAsia="en-GB"/>
              </w:rPr>
              <w:t xml:space="preserve">Agreement: </w:t>
            </w:r>
          </w:p>
          <w:p w14:paraId="141ABF4C" w14:textId="77777777" w:rsidR="008B621D" w:rsidRPr="001B374D" w:rsidRDefault="008B621D" w:rsidP="008B621D">
            <w:pPr>
              <w:numPr>
                <w:ilvl w:val="0"/>
                <w:numId w:val="37"/>
              </w:numPr>
              <w:textAlignment w:val="auto"/>
              <w:rPr>
                <w:i/>
                <w:iCs/>
                <w:sz w:val="16"/>
                <w:szCs w:val="16"/>
                <w:highlight w:val="lightGray"/>
                <w:lang w:val="en-US" w:eastAsia="zh-CN"/>
              </w:rPr>
            </w:pPr>
            <w:r w:rsidRPr="001B374D">
              <w:rPr>
                <w:i/>
                <w:iCs/>
                <w:sz w:val="16"/>
                <w:szCs w:val="16"/>
                <w:highlight w:val="lightGray"/>
                <w:lang w:val="en-US" w:eastAsia="zh-CN"/>
              </w:rPr>
              <w:t>Equal PSD as starting point</w:t>
            </w:r>
          </w:p>
          <w:p w14:paraId="61298FBD" w14:textId="77777777" w:rsidR="008B621D" w:rsidRPr="001B374D" w:rsidRDefault="008B621D" w:rsidP="008B621D">
            <w:pPr>
              <w:numPr>
                <w:ilvl w:val="1"/>
                <w:numId w:val="37"/>
              </w:numPr>
              <w:textAlignment w:val="auto"/>
              <w:rPr>
                <w:rFonts w:eastAsia="等线"/>
                <w:i/>
                <w:iCs/>
                <w:sz w:val="16"/>
                <w:szCs w:val="16"/>
                <w:highlight w:val="lightGray"/>
                <w:lang w:val="en-US" w:eastAsia="zh-CN"/>
              </w:rPr>
            </w:pPr>
            <w:r w:rsidRPr="001B374D">
              <w:rPr>
                <w:rFonts w:eastAsia="等线"/>
                <w:i/>
                <w:iCs/>
                <w:sz w:val="16"/>
                <w:szCs w:val="16"/>
                <w:highlight w:val="lightGray"/>
                <w:lang w:val="en-US" w:eastAsia="zh-CN"/>
              </w:rPr>
              <w:t xml:space="preserve">Companies are encouraged to check the MPR difference with 6dB PSD imbalance </w:t>
            </w:r>
          </w:p>
          <w:p w14:paraId="127C2A4B" w14:textId="77777777" w:rsidR="008B621D" w:rsidRPr="001B374D" w:rsidRDefault="008B621D" w:rsidP="008B621D">
            <w:pPr>
              <w:numPr>
                <w:ilvl w:val="0"/>
                <w:numId w:val="37"/>
              </w:numPr>
              <w:textAlignment w:val="auto"/>
              <w:rPr>
                <w:i/>
                <w:iCs/>
                <w:sz w:val="16"/>
                <w:szCs w:val="16"/>
                <w:highlight w:val="lightGray"/>
                <w:lang w:val="en-US" w:eastAsia="zh-CN"/>
              </w:rPr>
            </w:pPr>
            <w:r w:rsidRPr="001B374D">
              <w:rPr>
                <w:i/>
                <w:iCs/>
                <w:sz w:val="16"/>
                <w:szCs w:val="16"/>
                <w:highlight w:val="lightGray"/>
                <w:lang w:val="en-US" w:eastAsia="zh-CN"/>
              </w:rPr>
              <w:t>Inform RAN5 about the PSD condition for MPR derivation in RAN4</w:t>
            </w:r>
          </w:p>
          <w:p w14:paraId="406F308D" w14:textId="77777777" w:rsidR="008B621D" w:rsidRPr="001B374D" w:rsidRDefault="008B621D" w:rsidP="008B621D">
            <w:pPr>
              <w:numPr>
                <w:ilvl w:val="0"/>
                <w:numId w:val="37"/>
              </w:numPr>
              <w:textAlignment w:val="auto"/>
              <w:rPr>
                <w:i/>
                <w:iCs/>
                <w:sz w:val="16"/>
                <w:szCs w:val="16"/>
                <w:highlight w:val="lightGray"/>
                <w:lang w:val="en-US" w:eastAsia="zh-CN"/>
              </w:rPr>
            </w:pPr>
            <w:r w:rsidRPr="001B374D">
              <w:rPr>
                <w:i/>
                <w:iCs/>
                <w:sz w:val="16"/>
                <w:szCs w:val="16"/>
                <w:highlight w:val="lightGray"/>
                <w:lang w:val="en-US" w:eastAsia="zh-CN"/>
              </w:rPr>
              <w:t>The MPR difference compared to PC2 is supposed to be less than 3dB for PC1.5 in order to have performance gain over PC2</w:t>
            </w:r>
          </w:p>
          <w:p w14:paraId="46231E01" w14:textId="1E7458E1" w:rsidR="008B621D" w:rsidRPr="001B374D" w:rsidRDefault="008B621D" w:rsidP="00362BF3">
            <w:pPr>
              <w:numPr>
                <w:ilvl w:val="0"/>
                <w:numId w:val="37"/>
              </w:numPr>
              <w:textAlignment w:val="auto"/>
              <w:rPr>
                <w:i/>
                <w:iCs/>
                <w:sz w:val="16"/>
                <w:szCs w:val="16"/>
                <w:highlight w:val="lightGray"/>
                <w:lang w:val="en-US" w:eastAsia="zh-CN"/>
              </w:rPr>
            </w:pPr>
            <w:r w:rsidRPr="001B374D">
              <w:rPr>
                <w:rFonts w:eastAsia="等线"/>
                <w:i/>
                <w:iCs/>
                <w:sz w:val="16"/>
                <w:szCs w:val="16"/>
                <w:highlight w:val="lightGray"/>
                <w:lang w:val="en-US" w:eastAsia="zh-CN"/>
              </w:rPr>
              <w:t>Companies to clarify the PA configuration assumptions for MPR evaluation for PC3, PC2 and PC1.5 intra-band NC UL CA, for example, (PC3+PC3) for PC3</w:t>
            </w:r>
          </w:p>
          <w:p w14:paraId="43ECC11B" w14:textId="77777777" w:rsidR="008B621D" w:rsidRPr="001B374D" w:rsidRDefault="008B621D" w:rsidP="008B621D">
            <w:pPr>
              <w:keepNext/>
              <w:keepLines/>
              <w:spacing w:before="180"/>
              <w:textAlignment w:val="auto"/>
              <w:outlineLvl w:val="1"/>
              <w:rPr>
                <w:rFonts w:ascii="Arial" w:hAnsi="Arial"/>
                <w:i/>
                <w:iCs/>
                <w:sz w:val="21"/>
                <w:szCs w:val="16"/>
                <w:highlight w:val="lightGray"/>
                <w:lang w:eastAsia="en-GB"/>
              </w:rPr>
            </w:pPr>
            <w:r w:rsidRPr="001B374D">
              <w:rPr>
                <w:rFonts w:ascii="Arial" w:hAnsi="Arial"/>
                <w:i/>
                <w:iCs/>
                <w:sz w:val="21"/>
                <w:szCs w:val="16"/>
                <w:highlight w:val="lightGray"/>
                <w:lang w:eastAsia="en-GB"/>
              </w:rPr>
              <w:t>1.3 MPR applicability for intra-band contiguous and non-contiguous ULCA</w:t>
            </w:r>
          </w:p>
          <w:p w14:paraId="6CB911DB" w14:textId="77777777" w:rsidR="008B621D" w:rsidRPr="001B374D" w:rsidRDefault="008B621D" w:rsidP="008B621D">
            <w:pPr>
              <w:overflowPunct/>
              <w:autoSpaceDE/>
              <w:adjustRightInd/>
              <w:spacing w:after="120"/>
              <w:ind w:left="720"/>
              <w:textAlignment w:val="auto"/>
              <w:rPr>
                <w:rFonts w:eastAsia="宋体"/>
                <w:i/>
                <w:iCs/>
                <w:color w:val="0070C0"/>
                <w:sz w:val="16"/>
                <w:szCs w:val="21"/>
                <w:highlight w:val="lightGray"/>
                <w:lang w:eastAsia="zh-CN"/>
              </w:rPr>
            </w:pPr>
            <w:r w:rsidRPr="001B374D">
              <w:rPr>
                <w:rFonts w:eastAsia="宋体"/>
                <w:i/>
                <w:iCs/>
                <w:color w:val="0070C0"/>
                <w:sz w:val="16"/>
                <w:szCs w:val="21"/>
                <w:highlight w:val="lightGray"/>
                <w:lang w:eastAsia="zh-CN"/>
              </w:rPr>
              <w:t>Proposal</w:t>
            </w:r>
            <w:r w:rsidRPr="001B374D">
              <w:rPr>
                <w:rFonts w:eastAsia="宋体" w:hint="eastAsia"/>
                <w:i/>
                <w:iCs/>
                <w:color w:val="0070C0"/>
                <w:sz w:val="16"/>
                <w:szCs w:val="21"/>
                <w:highlight w:val="lightGray"/>
                <w:lang w:eastAsia="zh-CN"/>
              </w:rPr>
              <w:t>：</w:t>
            </w:r>
          </w:p>
          <w:p w14:paraId="12EEF1BA" w14:textId="77777777" w:rsidR="008B621D" w:rsidRPr="001B374D" w:rsidRDefault="008B621D" w:rsidP="008B621D">
            <w:pPr>
              <w:numPr>
                <w:ilvl w:val="1"/>
                <w:numId w:val="38"/>
              </w:numPr>
              <w:overflowPunct/>
              <w:autoSpaceDE/>
              <w:adjustRightInd/>
              <w:spacing w:after="60"/>
              <w:ind w:left="1434" w:hanging="357"/>
              <w:jc w:val="both"/>
              <w:textAlignment w:val="auto"/>
              <w:rPr>
                <w:rFonts w:eastAsia="宋体"/>
                <w:i/>
                <w:iCs/>
                <w:sz w:val="16"/>
                <w:szCs w:val="21"/>
                <w:highlight w:val="lightGray"/>
                <w:lang w:eastAsia="zh-CN"/>
              </w:rPr>
            </w:pPr>
            <w:r w:rsidRPr="001B374D">
              <w:rPr>
                <w:rFonts w:eastAsia="宋体"/>
                <w:i/>
                <w:iCs/>
                <w:sz w:val="16"/>
                <w:szCs w:val="21"/>
                <w:highlight w:val="lightGray"/>
                <w:lang w:eastAsia="zh-CN"/>
              </w:rPr>
              <w:t xml:space="preserve">No matter how th MPR is evaluated, equal or unbalanced PSD, the MPR specified for the total power covers unequal UL PSD and transmission bandwidths across CCs. </w:t>
            </w:r>
            <w:r w:rsidRPr="001B374D">
              <w:rPr>
                <w:rFonts w:eastAsia="宋体"/>
                <w:i/>
                <w:iCs/>
                <w:color w:val="4472C4"/>
                <w:sz w:val="16"/>
                <w:szCs w:val="21"/>
                <w:highlight w:val="lightGray"/>
                <w:lang w:eastAsia="zh-CN"/>
              </w:rPr>
              <w:t xml:space="preserve"> (Ericsson)</w:t>
            </w:r>
          </w:p>
          <w:p w14:paraId="73BC2716" w14:textId="77777777" w:rsidR="008B621D" w:rsidRPr="001B374D" w:rsidRDefault="008B621D" w:rsidP="008B621D">
            <w:pPr>
              <w:textAlignment w:val="auto"/>
              <w:rPr>
                <w:rFonts w:eastAsia="等线"/>
                <w:b/>
                <w:bCs/>
                <w:i/>
                <w:iCs/>
                <w:sz w:val="16"/>
                <w:szCs w:val="16"/>
                <w:highlight w:val="lightGray"/>
                <w:lang w:eastAsia="en-GB"/>
              </w:rPr>
            </w:pPr>
            <w:r w:rsidRPr="001B374D">
              <w:rPr>
                <w:rFonts w:eastAsia="等线"/>
                <w:b/>
                <w:bCs/>
                <w:i/>
                <w:iCs/>
                <w:sz w:val="16"/>
                <w:szCs w:val="16"/>
                <w:highlight w:val="lightGray"/>
                <w:lang w:eastAsia="en-GB"/>
              </w:rPr>
              <w:t xml:space="preserve">Agreement: </w:t>
            </w:r>
          </w:p>
          <w:p w14:paraId="143471E1" w14:textId="77777777" w:rsidR="008B621D" w:rsidRPr="001B374D" w:rsidRDefault="008B621D" w:rsidP="008B621D">
            <w:pPr>
              <w:numPr>
                <w:ilvl w:val="0"/>
                <w:numId w:val="37"/>
              </w:numPr>
              <w:textAlignment w:val="auto"/>
              <w:rPr>
                <w:i/>
                <w:iCs/>
                <w:sz w:val="16"/>
                <w:szCs w:val="16"/>
                <w:highlight w:val="lightGray"/>
                <w:lang w:val="en-US" w:eastAsia="zh-CN"/>
              </w:rPr>
            </w:pPr>
            <w:r w:rsidRPr="001B374D">
              <w:rPr>
                <w:i/>
                <w:iCs/>
                <w:sz w:val="16"/>
                <w:szCs w:val="16"/>
                <w:highlight w:val="lightGray"/>
                <w:lang w:val="en-US" w:eastAsia="zh-CN"/>
              </w:rPr>
              <w:t xml:space="preserve">FFS for NC CA in next meeting </w:t>
            </w:r>
          </w:p>
          <w:p w14:paraId="3CF2C184" w14:textId="7CAD6CF7" w:rsidR="00ED1F4E" w:rsidRPr="008B621D" w:rsidRDefault="008B621D" w:rsidP="008B621D">
            <w:pPr>
              <w:numPr>
                <w:ilvl w:val="0"/>
                <w:numId w:val="37"/>
              </w:numPr>
              <w:textAlignment w:val="auto"/>
              <w:rPr>
                <w:lang w:val="en-US" w:eastAsia="zh-CN"/>
              </w:rPr>
            </w:pPr>
            <w:r w:rsidRPr="001B374D">
              <w:rPr>
                <w:i/>
                <w:iCs/>
                <w:sz w:val="16"/>
                <w:szCs w:val="16"/>
                <w:highlight w:val="lightGray"/>
                <w:lang w:val="en-US" w:eastAsia="zh-CN"/>
              </w:rPr>
              <w:t>Stop the discussion for contiguous CA because equal PSD has already been agreed as assumption to derive MPR requirements</w:t>
            </w:r>
          </w:p>
        </w:tc>
      </w:tr>
    </w:tbl>
    <w:p w14:paraId="42B97DED" w14:textId="77777777" w:rsidR="001E4C41" w:rsidRDefault="001E4C41" w:rsidP="00BA331D">
      <w:pPr>
        <w:jc w:val="both"/>
        <w:rPr>
          <w:rFonts w:eastAsia="等线"/>
          <w:lang w:eastAsia="zh-CN"/>
        </w:rPr>
      </w:pPr>
    </w:p>
    <w:p w14:paraId="31416571" w14:textId="1A94BB72" w:rsidR="00E13E07" w:rsidRPr="00E13E07" w:rsidRDefault="00E13E07" w:rsidP="00E13E07">
      <w:pPr>
        <w:jc w:val="both"/>
        <w:rPr>
          <w:rFonts w:eastAsia="等线"/>
          <w:b/>
          <w:bCs/>
          <w:u w:val="single"/>
          <w:lang w:eastAsia="zh-CN"/>
        </w:rPr>
      </w:pPr>
      <w:r w:rsidRPr="00E13E07">
        <w:rPr>
          <w:rFonts w:eastAsia="等线" w:hint="eastAsia"/>
          <w:b/>
          <w:bCs/>
          <w:u w:val="single"/>
          <w:lang w:eastAsia="zh-CN"/>
        </w:rPr>
        <w:lastRenderedPageBreak/>
        <w:t>M</w:t>
      </w:r>
      <w:r w:rsidRPr="00E13E07">
        <w:rPr>
          <w:rFonts w:eastAsia="等线"/>
          <w:b/>
          <w:bCs/>
          <w:u w:val="single"/>
          <w:lang w:eastAsia="zh-CN"/>
        </w:rPr>
        <w:t>PR derivation</w:t>
      </w:r>
    </w:p>
    <w:p w14:paraId="4EDACC33" w14:textId="75614FDA" w:rsidR="00E13E07" w:rsidRDefault="003379E7" w:rsidP="00E13E07">
      <w:pPr>
        <w:jc w:val="both"/>
        <w:rPr>
          <w:rFonts w:eastAsia="等线"/>
          <w:lang w:eastAsia="zh-CN"/>
        </w:rPr>
      </w:pPr>
      <w:r>
        <w:rPr>
          <w:rFonts w:eastAsia="等线"/>
          <w:lang w:eastAsia="zh-CN"/>
        </w:rPr>
        <w:t xml:space="preserve">In last meeting, </w:t>
      </w:r>
      <w:r w:rsidR="00E13E07">
        <w:rPr>
          <w:rFonts w:eastAsia="等线"/>
          <w:lang w:eastAsia="zh-CN"/>
        </w:rPr>
        <w:t>it was proposed to reuse the existing requirements as starting point, with the assistance of new simulation / measurements. In addition, some measurements were done to evaluate the MPR difference between 1Tx and 2Tx, to provide another reference to derive new requirements. Here we resubmitted these observation and proposal:</w:t>
      </w:r>
    </w:p>
    <w:p w14:paraId="5A3CDBEA" w14:textId="10831219" w:rsidR="001B374D" w:rsidRDefault="001B374D" w:rsidP="00E13E07">
      <w:pPr>
        <w:jc w:val="both"/>
        <w:rPr>
          <w:rFonts w:ascii="宋体" w:eastAsia="宋体" w:hAnsi="宋体" w:cs="宋体"/>
          <w:b/>
          <w:lang w:eastAsia="zh-CN"/>
        </w:rPr>
      </w:pPr>
      <w:r w:rsidRPr="005F55C3">
        <w:rPr>
          <w:b/>
        </w:rPr>
        <w:t>Observation</w:t>
      </w:r>
      <w:r>
        <w:rPr>
          <w:b/>
        </w:rPr>
        <w:t xml:space="preserve"> 1</w:t>
      </w:r>
      <w:r w:rsidR="00831D04">
        <w:rPr>
          <w:rFonts w:eastAsia="等线"/>
          <w:b/>
          <w:lang w:eastAsia="zh-CN"/>
        </w:rPr>
        <w:t xml:space="preserve"> (Re-submission)</w:t>
      </w:r>
      <w:r w:rsidRPr="005F55C3">
        <w:rPr>
          <w:b/>
        </w:rPr>
        <w:t>: The MPR difference between 1Tx and 2Tx considering full RB allocation is ranging from 0~1dB</w:t>
      </w:r>
      <w:r>
        <w:rPr>
          <w:rFonts w:ascii="宋体" w:eastAsia="宋体" w:hAnsi="宋体" w:cs="宋体" w:hint="eastAsia"/>
          <w:b/>
          <w:lang w:eastAsia="zh-CN"/>
        </w:rPr>
        <w:t>.</w:t>
      </w:r>
    </w:p>
    <w:p w14:paraId="44E22A57" w14:textId="013D3034" w:rsidR="001B374D" w:rsidRPr="00E13CA2" w:rsidRDefault="001B374D" w:rsidP="001B374D">
      <w:pPr>
        <w:rPr>
          <w:rFonts w:eastAsia="等线"/>
          <w:b/>
          <w:lang w:eastAsia="zh-CN"/>
        </w:rPr>
      </w:pPr>
      <w:r w:rsidRPr="00E13CA2">
        <w:rPr>
          <w:rFonts w:eastAsia="等线" w:hint="eastAsia"/>
          <w:b/>
          <w:lang w:eastAsia="zh-CN"/>
        </w:rPr>
        <w:t>Proposal</w:t>
      </w:r>
      <w:r w:rsidRPr="00E13CA2">
        <w:rPr>
          <w:rFonts w:eastAsia="等线"/>
          <w:b/>
          <w:lang w:eastAsia="zh-CN"/>
        </w:rPr>
        <w:t xml:space="preserve"> 1</w:t>
      </w:r>
      <w:r w:rsidR="00E13E07">
        <w:rPr>
          <w:rFonts w:eastAsia="等线"/>
          <w:b/>
          <w:lang w:eastAsia="zh-CN"/>
        </w:rPr>
        <w:t xml:space="preserve"> (Re-submission)</w:t>
      </w:r>
      <w:r w:rsidRPr="00E13CA2">
        <w:rPr>
          <w:rFonts w:eastAsia="等线" w:hint="eastAsia"/>
          <w:b/>
          <w:lang w:eastAsia="zh-CN"/>
        </w:rPr>
        <w:t>：</w:t>
      </w:r>
      <w:r w:rsidRPr="00E13CA2">
        <w:rPr>
          <w:rFonts w:eastAsia="等线"/>
          <w:b/>
          <w:lang w:eastAsia="zh-CN"/>
        </w:rPr>
        <w:t xml:space="preserve"> PC 1.5 UL CA</w:t>
      </w:r>
      <w:r w:rsidR="00E13E07">
        <w:rPr>
          <w:rFonts w:eastAsia="等线"/>
          <w:b/>
          <w:lang w:eastAsia="zh-CN"/>
        </w:rPr>
        <w:t xml:space="preserve"> </w:t>
      </w:r>
      <w:r w:rsidR="00E13E07" w:rsidRPr="00E13CA2">
        <w:rPr>
          <w:rFonts w:eastAsia="等线"/>
          <w:b/>
          <w:lang w:eastAsia="zh-CN"/>
        </w:rPr>
        <w:t xml:space="preserve">MPR </w:t>
      </w:r>
      <w:r w:rsidRPr="00E13CA2">
        <w:rPr>
          <w:rFonts w:eastAsia="等线"/>
          <w:b/>
          <w:lang w:eastAsia="zh-CN"/>
        </w:rPr>
        <w:t>can us</w:t>
      </w:r>
      <w:r w:rsidR="00E13E07">
        <w:rPr>
          <w:rFonts w:eastAsia="等线"/>
          <w:b/>
          <w:lang w:eastAsia="zh-CN"/>
        </w:rPr>
        <w:t>e</w:t>
      </w:r>
      <w:r w:rsidRPr="00E13CA2">
        <w:rPr>
          <w:rFonts w:eastAsia="等线"/>
          <w:b/>
          <w:lang w:eastAsia="zh-CN"/>
        </w:rPr>
        <w:t xml:space="preserve"> exiting PC1.5 single carrier and PC2 single carrier and UL CA MPR data (as shown in below equation)</w:t>
      </w:r>
      <w:r w:rsidR="00E13E07" w:rsidRPr="00E13CA2">
        <w:rPr>
          <w:rFonts w:eastAsia="等线"/>
          <w:b/>
          <w:lang w:eastAsia="zh-CN"/>
        </w:rPr>
        <w:t xml:space="preserve"> </w:t>
      </w:r>
      <w:r w:rsidR="00E13E07">
        <w:rPr>
          <w:rFonts w:eastAsia="等线"/>
          <w:b/>
          <w:lang w:eastAsia="zh-CN"/>
        </w:rPr>
        <w:t>as</w:t>
      </w:r>
      <w:r w:rsidR="00E13E07" w:rsidRPr="00E13CA2">
        <w:rPr>
          <w:rFonts w:eastAsia="等线"/>
          <w:b/>
          <w:lang w:eastAsia="zh-CN"/>
        </w:rPr>
        <w:t xml:space="preserve"> starting point</w:t>
      </w:r>
      <w:r w:rsidRPr="00E13CA2">
        <w:rPr>
          <w:rFonts w:eastAsia="等线"/>
          <w:b/>
          <w:lang w:eastAsia="zh-CN"/>
        </w:rPr>
        <w:t xml:space="preserve">, </w:t>
      </w:r>
      <w:r w:rsidR="00E13E07">
        <w:rPr>
          <w:rFonts w:eastAsia="等线"/>
          <w:b/>
          <w:lang w:eastAsia="zh-CN"/>
        </w:rPr>
        <w:t xml:space="preserve">and </w:t>
      </w:r>
      <w:r w:rsidRPr="00E13CA2">
        <w:rPr>
          <w:rFonts w:eastAsia="等线"/>
          <w:b/>
          <w:lang w:eastAsia="zh-CN"/>
        </w:rPr>
        <w:t xml:space="preserve">measurement/simulation results can </w:t>
      </w:r>
      <w:r w:rsidR="00E13E07">
        <w:rPr>
          <w:rFonts w:eastAsia="等线"/>
          <w:b/>
          <w:lang w:eastAsia="zh-CN"/>
        </w:rPr>
        <w:t xml:space="preserve">be used to </w:t>
      </w:r>
      <w:r w:rsidRPr="00E13CA2">
        <w:rPr>
          <w:rFonts w:eastAsia="等线"/>
          <w:b/>
          <w:lang w:eastAsia="zh-CN"/>
        </w:rPr>
        <w:t>assist in deriving MPR requirements</w:t>
      </w:r>
      <w:r w:rsidRPr="00E13CA2">
        <w:rPr>
          <w:rFonts w:eastAsia="等线" w:hint="eastAsia"/>
          <w:b/>
          <w:lang w:eastAsia="zh-CN"/>
        </w:rPr>
        <w:t>.</w:t>
      </w:r>
    </w:p>
    <w:p w14:paraId="337F2658" w14:textId="77777777" w:rsidR="001B374D" w:rsidRDefault="001B374D" w:rsidP="001B374D">
      <w:pPr>
        <w:jc w:val="center"/>
        <w:rPr>
          <w:rFonts w:eastAsia="等线"/>
          <w:b/>
          <w:lang w:val="en-US" w:eastAsia="zh-CN"/>
        </w:rPr>
      </w:pPr>
      <w:r w:rsidRPr="00E13CA2">
        <w:rPr>
          <w:rFonts w:eastAsia="等线" w:hint="eastAsia"/>
          <w:b/>
          <w:lang w:val="en-US" w:eastAsia="zh-CN"/>
        </w:rPr>
        <w:t>PC1.5 2Tx CA</w:t>
      </w:r>
      <w:r w:rsidRPr="00E13CA2">
        <w:rPr>
          <w:rFonts w:eastAsia="等线"/>
          <w:b/>
          <w:lang w:val="en-US" w:eastAsia="zh-CN"/>
        </w:rPr>
        <w:t xml:space="preserve"> MPR</w:t>
      </w:r>
      <w:r w:rsidRPr="00E13CA2">
        <w:rPr>
          <w:rFonts w:eastAsia="等线" w:hint="eastAsia"/>
          <w:b/>
          <w:lang w:val="en-US" w:eastAsia="zh-CN"/>
        </w:rPr>
        <w:t xml:space="preserve"> ~= PC2 2Tx CA</w:t>
      </w:r>
      <w:r w:rsidRPr="00E13CA2">
        <w:rPr>
          <w:rFonts w:eastAsia="等线"/>
          <w:b/>
          <w:lang w:val="en-US" w:eastAsia="zh-CN"/>
        </w:rPr>
        <w:t xml:space="preserve"> MPR</w:t>
      </w:r>
      <w:r w:rsidRPr="00E13CA2">
        <w:rPr>
          <w:rFonts w:eastAsia="等线" w:hint="eastAsia"/>
          <w:b/>
          <w:lang w:val="en-US" w:eastAsia="zh-CN"/>
        </w:rPr>
        <w:t xml:space="preserve"> + [PC1.5 2Tx SC</w:t>
      </w:r>
      <w:r w:rsidRPr="00E13CA2">
        <w:rPr>
          <w:rFonts w:eastAsia="等线"/>
          <w:b/>
          <w:lang w:val="en-US" w:eastAsia="zh-CN"/>
        </w:rPr>
        <w:t xml:space="preserve"> MPR</w:t>
      </w:r>
      <w:r w:rsidRPr="00E13CA2">
        <w:rPr>
          <w:rFonts w:eastAsia="等线" w:hint="eastAsia"/>
          <w:b/>
          <w:lang w:val="en-US" w:eastAsia="zh-CN"/>
        </w:rPr>
        <w:t xml:space="preserve"> - PC2 2Tx SC</w:t>
      </w:r>
      <w:r w:rsidRPr="00E13CA2">
        <w:rPr>
          <w:rFonts w:eastAsia="等线"/>
          <w:b/>
          <w:lang w:val="en-US" w:eastAsia="zh-CN"/>
        </w:rPr>
        <w:t xml:space="preserve"> MPR</w:t>
      </w:r>
      <w:r w:rsidRPr="00E13CA2">
        <w:rPr>
          <w:rFonts w:eastAsia="等线" w:hint="eastAsia"/>
          <w:b/>
          <w:lang w:val="en-US" w:eastAsia="zh-CN"/>
        </w:rPr>
        <w:t>]</w:t>
      </w:r>
    </w:p>
    <w:p w14:paraId="1BC47157" w14:textId="56E7D6D6" w:rsidR="001B374D" w:rsidRDefault="001B374D" w:rsidP="00BA331D">
      <w:pPr>
        <w:jc w:val="both"/>
        <w:rPr>
          <w:rFonts w:eastAsia="等线"/>
          <w:lang w:val="en-US" w:eastAsia="zh-CN"/>
        </w:rPr>
      </w:pPr>
    </w:p>
    <w:p w14:paraId="1729A217" w14:textId="46C2EE12" w:rsidR="00E13E07" w:rsidRPr="00E13E07" w:rsidRDefault="00E13E07" w:rsidP="00BA331D">
      <w:pPr>
        <w:jc w:val="both"/>
        <w:rPr>
          <w:rFonts w:eastAsia="等线"/>
          <w:b/>
          <w:bCs/>
          <w:u w:val="single"/>
          <w:lang w:val="en-US" w:eastAsia="zh-CN"/>
        </w:rPr>
      </w:pPr>
      <w:r w:rsidRPr="00E13E07">
        <w:rPr>
          <w:rFonts w:eastAsia="等线" w:hint="eastAsia"/>
          <w:b/>
          <w:bCs/>
          <w:u w:val="single"/>
          <w:lang w:val="en-US" w:eastAsia="zh-CN"/>
        </w:rPr>
        <w:t>M</w:t>
      </w:r>
      <w:r w:rsidRPr="00E13E07">
        <w:rPr>
          <w:rFonts w:eastAsia="等线"/>
          <w:b/>
          <w:bCs/>
          <w:u w:val="single"/>
          <w:lang w:val="en-US" w:eastAsia="zh-CN"/>
        </w:rPr>
        <w:t>PR applicability</w:t>
      </w:r>
    </w:p>
    <w:p w14:paraId="0592A3C4" w14:textId="4E06EA93" w:rsidR="00E13E07" w:rsidRDefault="00E13E07" w:rsidP="00BA331D">
      <w:pPr>
        <w:jc w:val="both"/>
        <w:rPr>
          <w:rFonts w:eastAsia="等线"/>
          <w:lang w:val="en-US" w:eastAsia="zh-CN"/>
        </w:rPr>
      </w:pPr>
      <w:r>
        <w:rPr>
          <w:rFonts w:eastAsia="等线" w:hint="eastAsia"/>
          <w:lang w:val="en-US" w:eastAsia="zh-CN"/>
        </w:rPr>
        <w:t>F</w:t>
      </w:r>
      <w:r>
        <w:rPr>
          <w:rFonts w:eastAsia="等线"/>
          <w:lang w:val="en-US" w:eastAsia="zh-CN"/>
        </w:rPr>
        <w:t>or MPR applicability, it has been confirmed that equal PSD was agreed as assumption to derive MPR for contiguous CA in earlier stages, and still FFS for NC CA.</w:t>
      </w:r>
    </w:p>
    <w:p w14:paraId="7A61E290" w14:textId="626B47DA" w:rsidR="00E13E07" w:rsidRDefault="00E13E07" w:rsidP="00BA331D">
      <w:pPr>
        <w:jc w:val="both"/>
        <w:rPr>
          <w:rFonts w:eastAsia="等线"/>
          <w:lang w:val="en-US" w:eastAsia="zh-CN"/>
        </w:rPr>
      </w:pPr>
      <w:r>
        <w:rPr>
          <w:rFonts w:eastAsia="等线" w:hint="eastAsia"/>
          <w:lang w:val="en-US" w:eastAsia="zh-CN"/>
        </w:rPr>
        <w:t>I</w:t>
      </w:r>
      <w:r>
        <w:rPr>
          <w:rFonts w:eastAsia="等线"/>
          <w:lang w:val="en-US" w:eastAsia="zh-CN"/>
        </w:rPr>
        <w:t xml:space="preserve">n our understanding, </w:t>
      </w:r>
      <w:r w:rsidR="00334954">
        <w:rPr>
          <w:rFonts w:eastAsia="等线"/>
          <w:lang w:val="en-US" w:eastAsia="zh-CN"/>
        </w:rPr>
        <w:t>we support Ericsson’s proposal that:</w:t>
      </w:r>
    </w:p>
    <w:p w14:paraId="48B05BA6" w14:textId="1197A12F" w:rsidR="00334954" w:rsidRPr="00334954" w:rsidRDefault="00334954" w:rsidP="00334954">
      <w:pPr>
        <w:ind w:leftChars="200" w:left="400"/>
        <w:jc w:val="both"/>
        <w:rPr>
          <w:rFonts w:eastAsia="等线"/>
          <w:sz w:val="21"/>
          <w:szCs w:val="21"/>
          <w:lang w:val="en-US" w:eastAsia="zh-CN"/>
        </w:rPr>
      </w:pPr>
      <w:r w:rsidRPr="00334954">
        <w:rPr>
          <w:rFonts w:eastAsia="等线"/>
          <w:sz w:val="21"/>
          <w:szCs w:val="21"/>
          <w:lang w:val="en-US" w:eastAsia="zh-CN"/>
        </w:rPr>
        <w:t>“</w:t>
      </w:r>
      <w:r w:rsidRPr="00334954">
        <w:rPr>
          <w:rFonts w:eastAsia="宋体"/>
          <w:sz w:val="18"/>
          <w:szCs w:val="22"/>
          <w:lang w:eastAsia="zh-CN"/>
        </w:rPr>
        <w:t>No matter how th</w:t>
      </w:r>
      <w:r>
        <w:rPr>
          <w:rFonts w:eastAsia="宋体"/>
          <w:sz w:val="18"/>
          <w:szCs w:val="22"/>
          <w:lang w:eastAsia="zh-CN"/>
        </w:rPr>
        <w:t>e</w:t>
      </w:r>
      <w:r w:rsidRPr="00334954">
        <w:rPr>
          <w:rFonts w:eastAsia="宋体"/>
          <w:sz w:val="18"/>
          <w:szCs w:val="22"/>
          <w:lang w:eastAsia="zh-CN"/>
        </w:rPr>
        <w:t xml:space="preserve"> MPR is evaluated, equal or unbalanced PSD, the MPR specified for the total power covers unequal UL PSD and transmission bandwidths across CCs</w:t>
      </w:r>
      <w:r w:rsidRPr="00334954">
        <w:rPr>
          <w:rFonts w:eastAsia="等线"/>
          <w:sz w:val="21"/>
          <w:szCs w:val="21"/>
          <w:lang w:val="en-US" w:eastAsia="zh-CN"/>
        </w:rPr>
        <w:t>”</w:t>
      </w:r>
    </w:p>
    <w:p w14:paraId="255EDE98" w14:textId="41E34587" w:rsidR="00334954" w:rsidRDefault="00334954" w:rsidP="00BA331D">
      <w:pPr>
        <w:jc w:val="both"/>
        <w:rPr>
          <w:rFonts w:eastAsia="等线"/>
          <w:lang w:val="en-US" w:eastAsia="zh-CN"/>
        </w:rPr>
      </w:pPr>
      <w:r>
        <w:rPr>
          <w:rFonts w:eastAsia="等线" w:hint="eastAsia"/>
          <w:lang w:val="en-US" w:eastAsia="zh-CN"/>
        </w:rPr>
        <w:t>A</w:t>
      </w:r>
      <w:r>
        <w:rPr>
          <w:rFonts w:eastAsia="等线"/>
          <w:lang w:val="en-US" w:eastAsia="zh-CN"/>
        </w:rPr>
        <w:t>fter all, the requirements would be too complicated if further differentiation were made on the different power imbalance condition. In addition, this is also aligned with current condition for contiguous CA. Some reasonable margin could be considered to account for the imbalance effect, but the final requirements should be power balance/imbalance agonistic.</w:t>
      </w:r>
    </w:p>
    <w:p w14:paraId="0EA56108" w14:textId="43F0EB1B" w:rsidR="00334954" w:rsidRPr="00334954" w:rsidRDefault="00334954" w:rsidP="00BA331D">
      <w:pPr>
        <w:jc w:val="both"/>
        <w:rPr>
          <w:rFonts w:eastAsia="等线"/>
          <w:b/>
          <w:bCs/>
          <w:lang w:val="en-US" w:eastAsia="zh-CN"/>
        </w:rPr>
      </w:pPr>
      <w:r w:rsidRPr="00334954">
        <w:rPr>
          <w:rFonts w:eastAsia="等线" w:hint="eastAsia"/>
          <w:b/>
          <w:bCs/>
          <w:lang w:val="en-US" w:eastAsia="zh-CN"/>
        </w:rPr>
        <w:t>P</w:t>
      </w:r>
      <w:r w:rsidRPr="00334954">
        <w:rPr>
          <w:rFonts w:eastAsia="等线"/>
          <w:b/>
          <w:bCs/>
          <w:lang w:val="en-US" w:eastAsia="zh-CN"/>
        </w:rPr>
        <w:t>roposal 2: The MPR requirements for intra-band NC ULCA should be power balance/imbalance agonistic.</w:t>
      </w:r>
    </w:p>
    <w:p w14:paraId="56BFFEFD" w14:textId="63D95086" w:rsidR="00E13E07" w:rsidRPr="00334954" w:rsidRDefault="00E13E07" w:rsidP="00BA331D">
      <w:pPr>
        <w:jc w:val="both"/>
        <w:rPr>
          <w:rFonts w:eastAsia="等线"/>
          <w:lang w:val="en-US" w:eastAsia="zh-CN"/>
        </w:rPr>
      </w:pPr>
    </w:p>
    <w:p w14:paraId="46ADA1F4" w14:textId="17895C5E" w:rsidR="005D44D5" w:rsidRPr="005D44D5" w:rsidRDefault="00334954" w:rsidP="00BA331D">
      <w:pPr>
        <w:jc w:val="both"/>
        <w:rPr>
          <w:rFonts w:eastAsia="等线"/>
          <w:b/>
          <w:bCs/>
          <w:u w:val="single"/>
          <w:lang w:val="en-US" w:eastAsia="zh-CN"/>
        </w:rPr>
      </w:pPr>
      <w:proofErr w:type="gramStart"/>
      <w:r w:rsidRPr="005D44D5">
        <w:rPr>
          <w:rFonts w:eastAsia="等线"/>
          <w:b/>
          <w:bCs/>
          <w:u w:val="single"/>
          <w:lang w:val="en-US" w:eastAsia="zh-CN"/>
        </w:rPr>
        <w:t>Pcmax</w:t>
      </w:r>
      <w:r w:rsidR="005D44D5" w:rsidRPr="005D44D5">
        <w:rPr>
          <w:rFonts w:eastAsia="等线"/>
          <w:b/>
          <w:bCs/>
          <w:u w:val="single"/>
          <w:lang w:val="en-US" w:eastAsia="zh-CN"/>
        </w:rPr>
        <w:t>,c</w:t>
      </w:r>
      <w:proofErr w:type="gramEnd"/>
      <w:r w:rsidR="005D44D5" w:rsidRPr="005D44D5">
        <w:rPr>
          <w:rFonts w:eastAsia="等线"/>
          <w:b/>
          <w:bCs/>
          <w:u w:val="single"/>
          <w:lang w:val="en-US" w:eastAsia="zh-CN"/>
        </w:rPr>
        <w:t xml:space="preserve"> and Pcmax </w:t>
      </w:r>
      <w:r w:rsidR="005D44D5" w:rsidRPr="005D44D5">
        <w:rPr>
          <w:rFonts w:eastAsia="等线" w:hint="eastAsia"/>
          <w:b/>
          <w:bCs/>
          <w:u w:val="single"/>
          <w:lang w:val="en-US" w:eastAsia="zh-CN"/>
        </w:rPr>
        <w:t>Equation</w:t>
      </w:r>
      <w:r w:rsidR="005D44D5" w:rsidRPr="005D44D5">
        <w:rPr>
          <w:rFonts w:eastAsia="等线"/>
          <w:b/>
          <w:bCs/>
          <w:u w:val="single"/>
          <w:lang w:val="en-US" w:eastAsia="zh-CN"/>
        </w:rPr>
        <w:t>s</w:t>
      </w:r>
      <w:r w:rsidR="005D44D5">
        <w:rPr>
          <w:rFonts w:eastAsia="等线"/>
          <w:b/>
          <w:bCs/>
          <w:u w:val="single"/>
          <w:lang w:val="en-US" w:eastAsia="zh-CN"/>
        </w:rPr>
        <w:t xml:space="preserve"> (Intra-band NC ULCA dualPA)</w:t>
      </w:r>
    </w:p>
    <w:p w14:paraId="1F38A8C5" w14:textId="71695678" w:rsidR="005D44D5" w:rsidRDefault="005D44D5" w:rsidP="00BA331D">
      <w:pPr>
        <w:jc w:val="both"/>
        <w:rPr>
          <w:rFonts w:eastAsia="等线"/>
          <w:lang w:val="en-US" w:eastAsia="zh-CN"/>
        </w:rPr>
      </w:pPr>
      <w:r>
        <w:rPr>
          <w:rFonts w:eastAsia="等线" w:hint="eastAsia"/>
          <w:lang w:val="en-US" w:eastAsia="zh-CN"/>
        </w:rPr>
        <w:t>I</w:t>
      </w:r>
      <w:r>
        <w:rPr>
          <w:rFonts w:eastAsia="等线"/>
          <w:lang w:val="en-US" w:eastAsia="zh-CN"/>
        </w:rPr>
        <w:t>n the WF, there was following agreement:</w:t>
      </w:r>
    </w:p>
    <w:p w14:paraId="7631AB63" w14:textId="77777777" w:rsidR="005D44D5" w:rsidRPr="005D44D5" w:rsidRDefault="005D44D5" w:rsidP="005D44D5">
      <w:pPr>
        <w:ind w:leftChars="200" w:left="400"/>
        <w:rPr>
          <w:rFonts w:eastAsiaTheme="minorEastAsia"/>
          <w:i/>
          <w:iCs/>
          <w:sz w:val="18"/>
          <w:szCs w:val="18"/>
          <w:highlight w:val="lightGray"/>
        </w:rPr>
      </w:pPr>
      <w:bookmarkStart w:id="2" w:name="_Hlk182965913"/>
      <w:r w:rsidRPr="005D44D5">
        <w:rPr>
          <w:rFonts w:eastAsiaTheme="minorEastAsia"/>
          <w:b/>
          <w:bCs/>
          <w:i/>
          <w:iCs/>
          <w:sz w:val="18"/>
          <w:szCs w:val="18"/>
          <w:highlight w:val="lightGray"/>
        </w:rPr>
        <w:t xml:space="preserve">Agreement: </w:t>
      </w:r>
    </w:p>
    <w:bookmarkEnd w:id="2"/>
    <w:p w14:paraId="6A88E1FC" w14:textId="77777777" w:rsidR="005D44D5" w:rsidRPr="005D44D5" w:rsidRDefault="005D44D5" w:rsidP="005D44D5">
      <w:pPr>
        <w:pStyle w:val="afff5"/>
        <w:numPr>
          <w:ilvl w:val="0"/>
          <w:numId w:val="31"/>
        </w:numPr>
        <w:ind w:leftChars="200" w:left="820"/>
        <w:contextualSpacing w:val="0"/>
        <w:rPr>
          <w:i/>
          <w:iCs/>
          <w:sz w:val="18"/>
          <w:szCs w:val="18"/>
          <w:highlight w:val="lightGray"/>
        </w:rPr>
      </w:pPr>
      <w:proofErr w:type="gramStart"/>
      <w:r w:rsidRPr="005D44D5">
        <w:rPr>
          <w:rFonts w:hint="eastAsia"/>
          <w:i/>
          <w:iCs/>
          <w:sz w:val="18"/>
          <w:szCs w:val="18"/>
          <w:highlight w:val="lightGray"/>
        </w:rPr>
        <w:t>P</w:t>
      </w:r>
      <w:r w:rsidRPr="005D44D5">
        <w:rPr>
          <w:i/>
          <w:iCs/>
          <w:sz w:val="18"/>
          <w:szCs w:val="18"/>
          <w:highlight w:val="lightGray"/>
          <w:vertAlign w:val="subscript"/>
        </w:rPr>
        <w:t>CMAX,C</w:t>
      </w:r>
      <w:proofErr w:type="gramEnd"/>
      <w:r w:rsidRPr="005D44D5">
        <w:rPr>
          <w:i/>
          <w:iCs/>
          <w:sz w:val="18"/>
          <w:szCs w:val="18"/>
          <w:highlight w:val="lightGray"/>
          <w:vertAlign w:val="subscript"/>
        </w:rPr>
        <w:t xml:space="preserve"> </w:t>
      </w:r>
      <w:r w:rsidRPr="005D44D5">
        <w:rPr>
          <w:rFonts w:hint="eastAsia"/>
          <w:i/>
          <w:iCs/>
          <w:sz w:val="18"/>
          <w:szCs w:val="18"/>
          <w:highlight w:val="lightGray"/>
        </w:rPr>
        <w:t>is</w:t>
      </w:r>
      <w:r w:rsidRPr="005D44D5">
        <w:rPr>
          <w:i/>
          <w:iCs/>
          <w:sz w:val="18"/>
          <w:szCs w:val="18"/>
          <w:highlight w:val="lightGray"/>
        </w:rPr>
        <w:t xml:space="preserve"> </w:t>
      </w:r>
      <w:r w:rsidRPr="005D44D5">
        <w:rPr>
          <w:rFonts w:hint="eastAsia"/>
          <w:i/>
          <w:iCs/>
          <w:sz w:val="18"/>
          <w:szCs w:val="18"/>
          <w:highlight w:val="lightGray"/>
        </w:rPr>
        <w:t>up</w:t>
      </w:r>
      <w:r w:rsidRPr="005D44D5">
        <w:rPr>
          <w:i/>
          <w:iCs/>
          <w:sz w:val="18"/>
          <w:szCs w:val="18"/>
          <w:highlight w:val="lightGray"/>
        </w:rPr>
        <w:t>per bounded by 26dBm</w:t>
      </w:r>
    </w:p>
    <w:p w14:paraId="2052657A" w14:textId="77777777" w:rsidR="005D44D5" w:rsidRPr="005D44D5" w:rsidRDefault="005D44D5" w:rsidP="005D44D5">
      <w:pPr>
        <w:pStyle w:val="afff5"/>
        <w:numPr>
          <w:ilvl w:val="1"/>
          <w:numId w:val="31"/>
        </w:numPr>
        <w:ind w:leftChars="410" w:left="1240"/>
        <w:contextualSpacing w:val="0"/>
        <w:rPr>
          <w:rFonts w:eastAsiaTheme="minorEastAsia"/>
          <w:i/>
          <w:iCs/>
          <w:sz w:val="18"/>
          <w:szCs w:val="18"/>
          <w:highlight w:val="lightGray"/>
        </w:rPr>
      </w:pPr>
      <w:r w:rsidRPr="005D44D5">
        <w:rPr>
          <w:rFonts w:eastAsiaTheme="minorEastAsia"/>
          <w:i/>
          <w:iCs/>
          <w:sz w:val="18"/>
          <w:szCs w:val="18"/>
          <w:highlight w:val="lightGray"/>
        </w:rPr>
        <w:t xml:space="preserve"> How to reflect it in spec is FFS </w:t>
      </w:r>
    </w:p>
    <w:p w14:paraId="140BC680" w14:textId="77777777" w:rsidR="005D44D5" w:rsidRPr="005D44D5" w:rsidRDefault="005D44D5" w:rsidP="005D44D5">
      <w:pPr>
        <w:pStyle w:val="afff5"/>
        <w:numPr>
          <w:ilvl w:val="0"/>
          <w:numId w:val="31"/>
        </w:numPr>
        <w:ind w:leftChars="200" w:left="820"/>
        <w:contextualSpacing w:val="0"/>
        <w:rPr>
          <w:i/>
          <w:iCs/>
          <w:sz w:val="18"/>
          <w:szCs w:val="18"/>
          <w:highlight w:val="lightGray"/>
        </w:rPr>
      </w:pPr>
      <w:r w:rsidRPr="005D44D5">
        <w:rPr>
          <w:i/>
          <w:iCs/>
          <w:sz w:val="18"/>
          <w:szCs w:val="18"/>
          <w:highlight w:val="lightGray"/>
        </w:rPr>
        <w:t>For P</w:t>
      </w:r>
      <w:r w:rsidRPr="005D44D5">
        <w:rPr>
          <w:i/>
          <w:iCs/>
          <w:sz w:val="18"/>
          <w:szCs w:val="18"/>
          <w:highlight w:val="lightGray"/>
          <w:vertAlign w:val="subscript"/>
        </w:rPr>
        <w:t>CMAX</w:t>
      </w:r>
      <w:r w:rsidRPr="005D44D5">
        <w:rPr>
          <w:i/>
          <w:iCs/>
          <w:sz w:val="18"/>
          <w:szCs w:val="18"/>
          <w:highlight w:val="lightGray"/>
        </w:rPr>
        <w:t>, FFS in next meeting</w:t>
      </w:r>
    </w:p>
    <w:p w14:paraId="22CAD36D" w14:textId="77777777" w:rsidR="005D44D5" w:rsidRPr="005D44D5" w:rsidRDefault="005D44D5" w:rsidP="005D44D5">
      <w:pPr>
        <w:pStyle w:val="afff5"/>
        <w:numPr>
          <w:ilvl w:val="1"/>
          <w:numId w:val="31"/>
        </w:numPr>
        <w:ind w:leftChars="410" w:left="1240"/>
        <w:contextualSpacing w:val="0"/>
        <w:rPr>
          <w:rFonts w:eastAsiaTheme="minorEastAsia"/>
          <w:i/>
          <w:iCs/>
          <w:sz w:val="18"/>
          <w:szCs w:val="18"/>
          <w:highlight w:val="lightGray"/>
        </w:rPr>
      </w:pPr>
      <w:r w:rsidRPr="005D44D5">
        <w:rPr>
          <w:rFonts w:eastAsiaTheme="minorEastAsia"/>
          <w:i/>
          <w:iCs/>
          <w:sz w:val="18"/>
          <w:szCs w:val="18"/>
          <w:highlight w:val="lightGray"/>
        </w:rPr>
        <w:t>Option 1: No change of current spec</w:t>
      </w:r>
    </w:p>
    <w:p w14:paraId="5A1DB58B" w14:textId="77777777" w:rsidR="005D44D5" w:rsidRPr="005D44D5" w:rsidRDefault="005D44D5" w:rsidP="005D44D5">
      <w:pPr>
        <w:pStyle w:val="afff5"/>
        <w:numPr>
          <w:ilvl w:val="1"/>
          <w:numId w:val="31"/>
        </w:numPr>
        <w:ind w:leftChars="410" w:left="1240"/>
        <w:contextualSpacing w:val="0"/>
        <w:rPr>
          <w:rFonts w:eastAsiaTheme="minorEastAsia"/>
          <w:i/>
          <w:iCs/>
          <w:sz w:val="18"/>
          <w:szCs w:val="18"/>
          <w:highlight w:val="lightGray"/>
        </w:rPr>
      </w:pPr>
      <w:r w:rsidRPr="005D44D5">
        <w:rPr>
          <w:rFonts w:eastAsiaTheme="minorEastAsia" w:hint="eastAsia"/>
          <w:i/>
          <w:iCs/>
          <w:sz w:val="18"/>
          <w:szCs w:val="18"/>
          <w:highlight w:val="lightGray"/>
        </w:rPr>
        <w:t>O</w:t>
      </w:r>
      <w:r w:rsidRPr="005D44D5">
        <w:rPr>
          <w:rFonts w:eastAsiaTheme="minorEastAsia"/>
          <w:i/>
          <w:iCs/>
          <w:sz w:val="18"/>
          <w:szCs w:val="18"/>
          <w:highlight w:val="lightGray"/>
        </w:rPr>
        <w:t xml:space="preserve">ption 2: </w:t>
      </w:r>
      <w:proofErr w:type="gramStart"/>
      <w:r w:rsidRPr="005D44D5">
        <w:rPr>
          <w:rFonts w:eastAsiaTheme="minorEastAsia"/>
          <w:i/>
          <w:iCs/>
          <w:sz w:val="18"/>
          <w:szCs w:val="18"/>
          <w:highlight w:val="lightGray"/>
        </w:rPr>
        <w:t>P</w:t>
      </w:r>
      <w:r w:rsidRPr="005D44D5">
        <w:rPr>
          <w:rFonts w:eastAsiaTheme="minorEastAsia"/>
          <w:i/>
          <w:iCs/>
          <w:sz w:val="18"/>
          <w:szCs w:val="18"/>
          <w:highlight w:val="lightGray"/>
          <w:vertAlign w:val="subscript"/>
        </w:rPr>
        <w:t>PowerClass,CA</w:t>
      </w:r>
      <w:proofErr w:type="gramEnd"/>
      <w:r w:rsidRPr="005D44D5">
        <w:rPr>
          <w:rFonts w:eastAsiaTheme="minorEastAsia"/>
          <w:i/>
          <w:iCs/>
          <w:sz w:val="18"/>
          <w:szCs w:val="18"/>
          <w:highlight w:val="lightGray"/>
        </w:rPr>
        <w:t xml:space="preserve"> = min{29,26+10*log(1+4*min(RB1*SCS1,RB2*SCS2)/max(RB1*SCS1,RB2*SCS2))} dBm assuming 6dB PSD difference ,</w:t>
      </w:r>
    </w:p>
    <w:p w14:paraId="40CA7122" w14:textId="77777777" w:rsidR="005D44D5" w:rsidRPr="005D44D5" w:rsidRDefault="005D44D5" w:rsidP="005D44D5">
      <w:pPr>
        <w:pStyle w:val="afff5"/>
        <w:ind w:leftChars="560" w:left="1120" w:firstLineChars="400" w:firstLine="720"/>
        <w:rPr>
          <w:rFonts w:eastAsiaTheme="minorEastAsia"/>
          <w:i/>
          <w:iCs/>
          <w:sz w:val="18"/>
          <w:szCs w:val="18"/>
          <w:highlight w:val="lightGray"/>
        </w:rPr>
      </w:pPr>
      <w:r w:rsidRPr="005D44D5">
        <w:rPr>
          <w:rFonts w:eastAsiaTheme="minorEastAsia"/>
          <w:i/>
          <w:iCs/>
          <w:sz w:val="18"/>
          <w:szCs w:val="18"/>
          <w:highlight w:val="lightGray"/>
        </w:rPr>
        <w:t>or, =26+10*log(1+</w:t>
      </w:r>
      <w:proofErr w:type="gramStart"/>
      <w:r w:rsidRPr="005D44D5">
        <w:rPr>
          <w:rFonts w:eastAsiaTheme="minorEastAsia"/>
          <w:i/>
          <w:iCs/>
          <w:sz w:val="18"/>
          <w:szCs w:val="18"/>
          <w:highlight w:val="lightGray"/>
        </w:rPr>
        <w:t>min(</w:t>
      </w:r>
      <w:proofErr w:type="gramEnd"/>
      <w:r w:rsidRPr="005D44D5">
        <w:rPr>
          <w:rFonts w:eastAsiaTheme="minorEastAsia"/>
          <w:i/>
          <w:iCs/>
          <w:sz w:val="18"/>
          <w:szCs w:val="18"/>
          <w:highlight w:val="lightGray"/>
        </w:rPr>
        <w:t>RB1*SCS1,RB2*SCS2)/max(RB1*SCS1,RB2*SCS2)) assuming equal PSD,</w:t>
      </w:r>
    </w:p>
    <w:p w14:paraId="316304D0" w14:textId="77777777" w:rsidR="005D44D5" w:rsidRPr="005D44D5" w:rsidRDefault="005D44D5" w:rsidP="005D44D5">
      <w:pPr>
        <w:pStyle w:val="afff5"/>
        <w:ind w:leftChars="560" w:left="1120" w:firstLineChars="400" w:firstLine="720"/>
        <w:rPr>
          <w:rFonts w:eastAsiaTheme="minorEastAsia"/>
          <w:i/>
          <w:iCs/>
          <w:sz w:val="18"/>
          <w:szCs w:val="18"/>
        </w:rPr>
      </w:pPr>
      <w:r w:rsidRPr="005D44D5">
        <w:rPr>
          <w:rFonts w:eastAsiaTheme="minorEastAsia"/>
          <w:i/>
          <w:iCs/>
          <w:sz w:val="18"/>
          <w:szCs w:val="18"/>
          <w:highlight w:val="lightGray"/>
        </w:rPr>
        <w:t>can be used as a starting point.</w:t>
      </w:r>
    </w:p>
    <w:p w14:paraId="71273DEA" w14:textId="0A286401" w:rsidR="005D44D5" w:rsidRDefault="005D44D5" w:rsidP="00BA331D">
      <w:pPr>
        <w:jc w:val="both"/>
        <w:rPr>
          <w:rFonts w:eastAsia="等线"/>
          <w:lang w:eastAsia="zh-CN"/>
        </w:rPr>
      </w:pPr>
      <w:r>
        <w:rPr>
          <w:rFonts w:eastAsia="等线" w:hint="eastAsia"/>
          <w:lang w:eastAsia="zh-CN"/>
        </w:rPr>
        <w:t>F</w:t>
      </w:r>
      <w:r>
        <w:rPr>
          <w:rFonts w:eastAsia="等线"/>
          <w:lang w:eastAsia="zh-CN"/>
        </w:rPr>
        <w:t xml:space="preserve">or the Pcmax </w:t>
      </w:r>
      <w:r>
        <w:rPr>
          <w:rFonts w:eastAsia="等线" w:hint="eastAsia"/>
          <w:lang w:eastAsia="zh-CN"/>
        </w:rPr>
        <w:t>equ</w:t>
      </w:r>
      <w:r>
        <w:rPr>
          <w:rFonts w:eastAsia="等线"/>
          <w:lang w:eastAsia="zh-CN"/>
        </w:rPr>
        <w:t xml:space="preserve">ation, we tend to use option 1 here, that is no change of current spec. </w:t>
      </w:r>
    </w:p>
    <w:p w14:paraId="11C42955" w14:textId="4A198D5B" w:rsidR="005D44D5" w:rsidRDefault="005D44D5" w:rsidP="00BA331D">
      <w:pPr>
        <w:jc w:val="both"/>
        <w:rPr>
          <w:rFonts w:eastAsia="等线"/>
          <w:lang w:eastAsia="zh-CN"/>
        </w:rPr>
      </w:pPr>
      <w:r>
        <w:rPr>
          <w:rFonts w:eastAsia="等线"/>
          <w:lang w:eastAsia="zh-CN"/>
        </w:rPr>
        <w:t xml:space="preserve">The equations in option 2 have considered that fact that the total transmitted power would be restricted by the equal PSD assumption. The difference is that whether 6dB imbalance would be considered or not. The assumption is that the total power </w:t>
      </w:r>
      <w:r w:rsidR="00792F22">
        <w:rPr>
          <w:rFonts w:eastAsia="等线"/>
          <w:lang w:eastAsia="zh-CN"/>
        </w:rPr>
        <w:t xml:space="preserve">would not achieve 29dBm </w:t>
      </w:r>
      <w:r w:rsidR="00792F22">
        <w:rPr>
          <w:rFonts w:eastAsia="等线" w:hint="eastAsia"/>
          <w:lang w:eastAsia="zh-CN"/>
        </w:rPr>
        <w:t>with</w:t>
      </w:r>
      <w:r w:rsidR="00792F22">
        <w:rPr>
          <w:rFonts w:eastAsia="等线"/>
          <w:lang w:eastAsia="zh-CN"/>
        </w:rPr>
        <w:t xml:space="preserve"> the PSD restriction, thus a new lower limitation might be helpful.</w:t>
      </w:r>
    </w:p>
    <w:p w14:paraId="4A9140A5" w14:textId="7704BC44" w:rsidR="005D44D5" w:rsidRDefault="005D44D5" w:rsidP="00BA331D">
      <w:pPr>
        <w:jc w:val="both"/>
        <w:rPr>
          <w:rFonts w:eastAsia="等线"/>
          <w:lang w:eastAsia="zh-CN"/>
        </w:rPr>
      </w:pPr>
      <w:r>
        <w:rPr>
          <w:rFonts w:eastAsia="等线" w:hint="eastAsia"/>
          <w:lang w:eastAsia="zh-CN"/>
        </w:rPr>
        <w:t>A</w:t>
      </w:r>
      <w:r>
        <w:rPr>
          <w:rFonts w:eastAsia="等线"/>
          <w:lang w:eastAsia="zh-CN"/>
        </w:rPr>
        <w:t xml:space="preserve">lthough </w:t>
      </w:r>
      <w:r w:rsidR="00792F22">
        <w:rPr>
          <w:rFonts w:eastAsia="等线"/>
          <w:lang w:eastAsia="zh-CN"/>
        </w:rPr>
        <w:t xml:space="preserve">the principles </w:t>
      </w:r>
      <w:proofErr w:type="gramStart"/>
      <w:r w:rsidR="00792F22">
        <w:rPr>
          <w:rFonts w:eastAsia="等线"/>
          <w:lang w:eastAsia="zh-CN"/>
        </w:rPr>
        <w:t>looks</w:t>
      </w:r>
      <w:proofErr w:type="gramEnd"/>
      <w:r w:rsidR="00792F22">
        <w:rPr>
          <w:rFonts w:eastAsia="等线"/>
          <w:lang w:eastAsia="zh-CN"/>
        </w:rPr>
        <w:t xml:space="preserve"> reasonable, it is felt that this is still a bit awkward to setting up this kind of restrictions. The equal PSD is actually not that guaranteed, and the different CC will have independent power control procedure. In addition, this is only an upper bound, and may only be used for some PHR calculation if really so.</w:t>
      </w:r>
      <w:r w:rsidR="003C63BE">
        <w:rPr>
          <w:rFonts w:eastAsia="等线"/>
          <w:lang w:eastAsia="zh-CN"/>
        </w:rPr>
        <w:t xml:space="preserve"> Even with some imperfections, the real performance impact may be neglectable. </w:t>
      </w:r>
    </w:p>
    <w:p w14:paraId="6FA709D9" w14:textId="28DC67F9" w:rsidR="005D44D5" w:rsidRDefault="003C63BE" w:rsidP="00BA331D">
      <w:pPr>
        <w:jc w:val="both"/>
        <w:rPr>
          <w:rFonts w:eastAsia="等线"/>
          <w:lang w:val="en-US" w:eastAsia="zh-CN"/>
        </w:rPr>
      </w:pPr>
      <w:r w:rsidRPr="003C63BE">
        <w:rPr>
          <w:rFonts w:eastAsia="等线" w:hint="eastAsia"/>
          <w:b/>
          <w:bCs/>
          <w:lang w:eastAsia="zh-CN"/>
        </w:rPr>
        <w:lastRenderedPageBreak/>
        <w:t>P</w:t>
      </w:r>
      <w:r w:rsidRPr="003C63BE">
        <w:rPr>
          <w:rFonts w:eastAsia="等线"/>
          <w:b/>
          <w:bCs/>
          <w:lang w:eastAsia="zh-CN"/>
        </w:rPr>
        <w:t>roposal 3: For Pcmax equation for Intra-band NC ULCA dualPA</w:t>
      </w:r>
      <w:r>
        <w:rPr>
          <w:rFonts w:eastAsia="等线"/>
          <w:b/>
          <w:bCs/>
          <w:lang w:eastAsia="zh-CN"/>
        </w:rPr>
        <w:t xml:space="preserve">, keep the current spec and </w:t>
      </w:r>
      <w:r w:rsidR="00831D04">
        <w:rPr>
          <w:rFonts w:eastAsia="等线"/>
          <w:b/>
          <w:bCs/>
          <w:lang w:eastAsia="zh-CN"/>
        </w:rPr>
        <w:t>do not consider the PSD restriction in the equation.</w:t>
      </w:r>
    </w:p>
    <w:p w14:paraId="3075F53D" w14:textId="77777777" w:rsidR="00566F17" w:rsidRPr="00E13CA2" w:rsidRDefault="00566F17" w:rsidP="00566F17">
      <w:pPr>
        <w:rPr>
          <w:rFonts w:eastAsia="等线"/>
          <w:b/>
          <w:lang w:val="en-US" w:eastAsia="zh-CN"/>
        </w:rPr>
      </w:pPr>
      <w:bookmarkStart w:id="3" w:name="_Hlk179192084"/>
      <w:bookmarkStart w:id="4" w:name="_Hlk181954270"/>
      <w:bookmarkStart w:id="5" w:name="_Hlk181986420"/>
    </w:p>
    <w:bookmarkEnd w:id="3"/>
    <w:bookmarkEnd w:id="4"/>
    <w:bookmarkEnd w:id="5"/>
    <w:p w14:paraId="01F63E42" w14:textId="3AE00E89" w:rsidR="00A0720F" w:rsidRDefault="00A0720F" w:rsidP="00B21479">
      <w:pPr>
        <w:pStyle w:val="1"/>
        <w:rPr>
          <w:rFonts w:eastAsia="宋体"/>
          <w:lang w:eastAsia="zh-CN"/>
        </w:rPr>
      </w:pPr>
      <w:r>
        <w:rPr>
          <w:rFonts w:eastAsia="宋体" w:hint="eastAsia"/>
          <w:lang w:eastAsia="zh-CN"/>
        </w:rPr>
        <w:t>Conclusion</w:t>
      </w:r>
    </w:p>
    <w:p w14:paraId="5EBF2000" w14:textId="15159B29"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201111">
        <w:rPr>
          <w:rFonts w:eastAsia="宋体"/>
          <w:lang w:eastAsia="zh-CN"/>
        </w:rPr>
        <w:t>MPR evaluation framework for PC1.5 intra-band contiguous and non-contiguous CA</w:t>
      </w:r>
      <w:r w:rsidR="00925858">
        <w:rPr>
          <w:rFonts w:eastAsia="宋体"/>
          <w:lang w:eastAsia="zh-CN"/>
        </w:rPr>
        <w:t xml:space="preserve">. The following </w:t>
      </w:r>
      <w:r w:rsidR="00201111">
        <w:rPr>
          <w:rFonts w:eastAsia="宋体"/>
          <w:lang w:eastAsia="zh-CN"/>
        </w:rPr>
        <w:t xml:space="preserve">proposals </w:t>
      </w:r>
      <w:r w:rsidR="00925858">
        <w:rPr>
          <w:rFonts w:eastAsia="宋体"/>
          <w:lang w:eastAsia="zh-CN"/>
        </w:rPr>
        <w:t>are made:</w:t>
      </w:r>
    </w:p>
    <w:p w14:paraId="3E15E2B5" w14:textId="3CDA217C" w:rsidR="00831D04" w:rsidRPr="00831D04" w:rsidRDefault="00831D04" w:rsidP="00831D04">
      <w:pPr>
        <w:jc w:val="both"/>
        <w:rPr>
          <w:rFonts w:ascii="宋体" w:eastAsia="宋体" w:hAnsi="宋体" w:cs="宋体"/>
          <w:bCs/>
          <w:lang w:eastAsia="zh-CN"/>
        </w:rPr>
      </w:pPr>
      <w:r w:rsidRPr="005F55C3">
        <w:rPr>
          <w:b/>
        </w:rPr>
        <w:t>Observation</w:t>
      </w:r>
      <w:r>
        <w:rPr>
          <w:b/>
        </w:rPr>
        <w:t xml:space="preserve"> 1</w:t>
      </w:r>
      <w:r w:rsidRPr="00831D04">
        <w:rPr>
          <w:rFonts w:eastAsia="等线"/>
          <w:bCs/>
          <w:lang w:eastAsia="zh-CN"/>
        </w:rPr>
        <w:t xml:space="preserve"> (Re-submission)</w:t>
      </w:r>
      <w:r w:rsidRPr="005F55C3">
        <w:rPr>
          <w:b/>
        </w:rPr>
        <w:t xml:space="preserve">: </w:t>
      </w:r>
      <w:r w:rsidRPr="00831D04">
        <w:rPr>
          <w:bCs/>
        </w:rPr>
        <w:t>The MPR difference between 1Tx and 2Tx considering full RB allocation is ranging from 0~1dB</w:t>
      </w:r>
      <w:r w:rsidRPr="00831D04">
        <w:rPr>
          <w:rFonts w:ascii="宋体" w:eastAsia="宋体" w:hAnsi="宋体" w:cs="宋体" w:hint="eastAsia"/>
          <w:bCs/>
          <w:lang w:eastAsia="zh-CN"/>
        </w:rPr>
        <w:t>.</w:t>
      </w:r>
    </w:p>
    <w:p w14:paraId="68A70654" w14:textId="77777777" w:rsidR="00831D04" w:rsidRPr="00831D04" w:rsidRDefault="00831D04" w:rsidP="00831D04">
      <w:pPr>
        <w:rPr>
          <w:rFonts w:eastAsia="等线"/>
          <w:bCs/>
          <w:lang w:eastAsia="zh-CN"/>
        </w:rPr>
      </w:pPr>
      <w:r w:rsidRPr="00E13CA2">
        <w:rPr>
          <w:rFonts w:eastAsia="等线" w:hint="eastAsia"/>
          <w:b/>
          <w:lang w:eastAsia="zh-CN"/>
        </w:rPr>
        <w:t>Proposal</w:t>
      </w:r>
      <w:r w:rsidRPr="00E13CA2">
        <w:rPr>
          <w:rFonts w:eastAsia="等线"/>
          <w:b/>
          <w:lang w:eastAsia="zh-CN"/>
        </w:rPr>
        <w:t xml:space="preserve"> 1</w:t>
      </w:r>
      <w:r w:rsidRPr="00831D04">
        <w:rPr>
          <w:rFonts w:eastAsia="等线"/>
          <w:bCs/>
          <w:lang w:eastAsia="zh-CN"/>
        </w:rPr>
        <w:t xml:space="preserve"> (Re-submission)</w:t>
      </w:r>
      <w:r w:rsidRPr="00831D04">
        <w:rPr>
          <w:rFonts w:eastAsia="等线" w:hint="eastAsia"/>
          <w:bCs/>
          <w:lang w:eastAsia="zh-CN"/>
        </w:rPr>
        <w:t>：</w:t>
      </w:r>
      <w:r w:rsidRPr="00831D04">
        <w:rPr>
          <w:rFonts w:eastAsia="等线"/>
          <w:bCs/>
          <w:lang w:eastAsia="zh-CN"/>
        </w:rPr>
        <w:t xml:space="preserve"> PC 1.5 UL CA MPR can use exiting PC1.5 single carrier and PC2 single carrier and UL CA MPR data (as shown in below equation) as starting point, and measurement/simulation results can be used to assist in deriving MPR requirements</w:t>
      </w:r>
      <w:r w:rsidRPr="00831D04">
        <w:rPr>
          <w:rFonts w:eastAsia="等线" w:hint="eastAsia"/>
          <w:bCs/>
          <w:lang w:eastAsia="zh-CN"/>
        </w:rPr>
        <w:t>.</w:t>
      </w:r>
    </w:p>
    <w:p w14:paraId="6AAAB6C7" w14:textId="77777777" w:rsidR="00831D04" w:rsidRPr="00831D04" w:rsidRDefault="00831D04" w:rsidP="00831D04">
      <w:pPr>
        <w:jc w:val="center"/>
        <w:rPr>
          <w:rFonts w:eastAsia="等线"/>
          <w:bCs/>
          <w:lang w:val="en-US" w:eastAsia="zh-CN"/>
        </w:rPr>
      </w:pPr>
      <w:r w:rsidRPr="00831D04">
        <w:rPr>
          <w:rFonts w:eastAsia="等线" w:hint="eastAsia"/>
          <w:bCs/>
          <w:lang w:val="en-US" w:eastAsia="zh-CN"/>
        </w:rPr>
        <w:t>PC1.5 2Tx CA</w:t>
      </w:r>
      <w:r w:rsidRPr="00831D04">
        <w:rPr>
          <w:rFonts w:eastAsia="等线"/>
          <w:bCs/>
          <w:lang w:val="en-US" w:eastAsia="zh-CN"/>
        </w:rPr>
        <w:t xml:space="preserve"> MPR</w:t>
      </w:r>
      <w:r w:rsidRPr="00831D04">
        <w:rPr>
          <w:rFonts w:eastAsia="等线" w:hint="eastAsia"/>
          <w:bCs/>
          <w:lang w:val="en-US" w:eastAsia="zh-CN"/>
        </w:rPr>
        <w:t xml:space="preserve"> ~= PC2 2Tx CA</w:t>
      </w:r>
      <w:r w:rsidRPr="00831D04">
        <w:rPr>
          <w:rFonts w:eastAsia="等线"/>
          <w:bCs/>
          <w:lang w:val="en-US" w:eastAsia="zh-CN"/>
        </w:rPr>
        <w:t xml:space="preserve"> MPR</w:t>
      </w:r>
      <w:r w:rsidRPr="00831D04">
        <w:rPr>
          <w:rFonts w:eastAsia="等线" w:hint="eastAsia"/>
          <w:bCs/>
          <w:lang w:val="en-US" w:eastAsia="zh-CN"/>
        </w:rPr>
        <w:t xml:space="preserve"> + [PC1.5 2Tx SC</w:t>
      </w:r>
      <w:r w:rsidRPr="00831D04">
        <w:rPr>
          <w:rFonts w:eastAsia="等线"/>
          <w:bCs/>
          <w:lang w:val="en-US" w:eastAsia="zh-CN"/>
        </w:rPr>
        <w:t xml:space="preserve"> MPR</w:t>
      </w:r>
      <w:r w:rsidRPr="00831D04">
        <w:rPr>
          <w:rFonts w:eastAsia="等线" w:hint="eastAsia"/>
          <w:bCs/>
          <w:lang w:val="en-US" w:eastAsia="zh-CN"/>
        </w:rPr>
        <w:t xml:space="preserve"> - PC2 2Tx SC</w:t>
      </w:r>
      <w:r w:rsidRPr="00831D04">
        <w:rPr>
          <w:rFonts w:eastAsia="等线"/>
          <w:bCs/>
          <w:lang w:val="en-US" w:eastAsia="zh-CN"/>
        </w:rPr>
        <w:t xml:space="preserve"> MPR</w:t>
      </w:r>
      <w:r w:rsidRPr="00831D04">
        <w:rPr>
          <w:rFonts w:eastAsia="等线" w:hint="eastAsia"/>
          <w:bCs/>
          <w:lang w:val="en-US" w:eastAsia="zh-CN"/>
        </w:rPr>
        <w:t>]</w:t>
      </w:r>
    </w:p>
    <w:p w14:paraId="4D087648" w14:textId="77777777" w:rsidR="00831D04" w:rsidRDefault="00831D04" w:rsidP="00831D04">
      <w:pPr>
        <w:jc w:val="both"/>
        <w:rPr>
          <w:rFonts w:eastAsia="等线"/>
          <w:b/>
          <w:bCs/>
          <w:lang w:val="en-US" w:eastAsia="zh-CN"/>
        </w:rPr>
      </w:pPr>
    </w:p>
    <w:p w14:paraId="5638361E" w14:textId="33688D7B" w:rsidR="00831D04" w:rsidRPr="00831D04" w:rsidRDefault="00831D04" w:rsidP="00831D04">
      <w:pPr>
        <w:jc w:val="both"/>
        <w:rPr>
          <w:rFonts w:eastAsia="等线"/>
          <w:lang w:val="en-US" w:eastAsia="zh-CN"/>
        </w:rPr>
      </w:pPr>
      <w:r w:rsidRPr="00334954">
        <w:rPr>
          <w:rFonts w:eastAsia="等线" w:hint="eastAsia"/>
          <w:b/>
          <w:bCs/>
          <w:lang w:val="en-US" w:eastAsia="zh-CN"/>
        </w:rPr>
        <w:t>P</w:t>
      </w:r>
      <w:r w:rsidRPr="00334954">
        <w:rPr>
          <w:rFonts w:eastAsia="等线"/>
          <w:b/>
          <w:bCs/>
          <w:lang w:val="en-US" w:eastAsia="zh-CN"/>
        </w:rPr>
        <w:t xml:space="preserve">roposal 2: </w:t>
      </w:r>
      <w:r w:rsidRPr="00831D04">
        <w:rPr>
          <w:rFonts w:eastAsia="等线"/>
          <w:lang w:val="en-US" w:eastAsia="zh-CN"/>
        </w:rPr>
        <w:t>The MPR requirements for intra-band NC ULCA should be power balance/imbalance agonistic.</w:t>
      </w:r>
    </w:p>
    <w:p w14:paraId="5F1F5E00" w14:textId="7A6149B1" w:rsidR="00831D04" w:rsidRDefault="00831D04" w:rsidP="00831D04">
      <w:pPr>
        <w:jc w:val="both"/>
        <w:rPr>
          <w:rFonts w:eastAsia="等线"/>
          <w:lang w:eastAsia="zh-CN"/>
        </w:rPr>
      </w:pPr>
      <w:r w:rsidRPr="003C63BE">
        <w:rPr>
          <w:rFonts w:eastAsia="等线" w:hint="eastAsia"/>
          <w:b/>
          <w:bCs/>
          <w:lang w:eastAsia="zh-CN"/>
        </w:rPr>
        <w:t>P</w:t>
      </w:r>
      <w:r w:rsidRPr="003C63BE">
        <w:rPr>
          <w:rFonts w:eastAsia="等线"/>
          <w:b/>
          <w:bCs/>
          <w:lang w:eastAsia="zh-CN"/>
        </w:rPr>
        <w:t xml:space="preserve">roposal 3: </w:t>
      </w:r>
      <w:r w:rsidRPr="00831D04">
        <w:rPr>
          <w:rFonts w:eastAsia="等线"/>
          <w:lang w:eastAsia="zh-CN"/>
        </w:rPr>
        <w:t>For Pcmax equation for Intra-band NC ULCA dualPA, keep the current spec and do not consider the PSD restriction in the equation.</w:t>
      </w:r>
    </w:p>
    <w:p w14:paraId="0154FDB8" w14:textId="77777777" w:rsidR="00A32390" w:rsidRPr="00831D04" w:rsidRDefault="00A32390" w:rsidP="00831D04">
      <w:pPr>
        <w:jc w:val="both"/>
        <w:rPr>
          <w:rFonts w:eastAsia="等线"/>
          <w:lang w:eastAsia="zh-CN"/>
        </w:rPr>
      </w:pPr>
    </w:p>
    <w:p w14:paraId="291C8E0F" w14:textId="77777777" w:rsidR="00F10F97" w:rsidRDefault="00F10F97" w:rsidP="00F10F97">
      <w:pPr>
        <w:pStyle w:val="1"/>
        <w:numPr>
          <w:ilvl w:val="0"/>
          <w:numId w:val="0"/>
        </w:numPr>
        <w:rPr>
          <w:rFonts w:eastAsia="宋体"/>
          <w:lang w:eastAsia="zh-CN"/>
        </w:rPr>
      </w:pPr>
      <w:r>
        <w:t>References</w:t>
      </w:r>
    </w:p>
    <w:p w14:paraId="6B77C2FE" w14:textId="2836BC1F" w:rsidR="001A5317" w:rsidRDefault="001A5317" w:rsidP="001A5317">
      <w:pPr>
        <w:rPr>
          <w:rFonts w:eastAsia="等线"/>
          <w:lang w:eastAsia="zh-CN"/>
        </w:rPr>
      </w:pPr>
      <w:r>
        <w:rPr>
          <w:rFonts w:eastAsia="等线"/>
          <w:lang w:eastAsia="zh-CN"/>
        </w:rPr>
        <w:t xml:space="preserve">[1] </w:t>
      </w:r>
      <w:r w:rsidR="00FB03D9" w:rsidRPr="00FB03D9">
        <w:rPr>
          <w:rFonts w:eastAsia="等线"/>
          <w:lang w:eastAsia="zh-CN"/>
        </w:rPr>
        <w:t>R4-2420329, WF on HPUE RF requirements, Samsung, RAN4#113.</w:t>
      </w:r>
    </w:p>
    <w:p w14:paraId="44F80510" w14:textId="77777777" w:rsidR="0088734D" w:rsidRPr="0088734D" w:rsidRDefault="0088734D" w:rsidP="0088734D">
      <w:pPr>
        <w:rPr>
          <w:rFonts w:eastAsia="等线"/>
          <w:lang w:eastAsia="zh-CN"/>
        </w:rPr>
      </w:pPr>
      <w:r>
        <w:rPr>
          <w:rFonts w:eastAsia="等线"/>
          <w:lang w:eastAsia="zh-CN"/>
        </w:rPr>
        <w:t xml:space="preserve">[2] </w:t>
      </w:r>
      <w:r w:rsidRPr="0088734D">
        <w:rPr>
          <w:rFonts w:eastAsia="等线"/>
          <w:lang w:eastAsia="zh-CN"/>
        </w:rPr>
        <w:t>R4-2418198</w:t>
      </w:r>
      <w:r>
        <w:rPr>
          <w:rFonts w:eastAsia="等线"/>
          <w:lang w:eastAsia="zh-CN"/>
        </w:rPr>
        <w:t xml:space="preserve">, </w:t>
      </w:r>
      <w:r w:rsidRPr="0088734D">
        <w:rPr>
          <w:rFonts w:eastAsia="等线"/>
          <w:lang w:eastAsia="zh-CN"/>
        </w:rPr>
        <w:t>Discussion on Intra-band contiguous and non-contiguous UL CA with PC1.5</w:t>
      </w:r>
      <w:r>
        <w:rPr>
          <w:rFonts w:eastAsia="等线"/>
          <w:lang w:eastAsia="zh-CN"/>
        </w:rPr>
        <w:t xml:space="preserve">, </w:t>
      </w:r>
      <w:r w:rsidRPr="0088734D">
        <w:rPr>
          <w:rFonts w:eastAsia="等线"/>
          <w:lang w:eastAsia="zh-CN"/>
        </w:rPr>
        <w:t>vivo</w:t>
      </w:r>
      <w:r>
        <w:rPr>
          <w:rFonts w:eastAsia="等线"/>
          <w:lang w:eastAsia="zh-CN"/>
        </w:rPr>
        <w:t xml:space="preserve">, </w:t>
      </w:r>
      <w:r w:rsidRPr="00FB03D9">
        <w:rPr>
          <w:rFonts w:eastAsia="等线"/>
          <w:lang w:eastAsia="zh-CN"/>
        </w:rPr>
        <w:t>RAN4#113.</w:t>
      </w:r>
    </w:p>
    <w:p w14:paraId="28D3D2A3" w14:textId="2A6D7B7C" w:rsidR="00B500DA" w:rsidRDefault="0088734D" w:rsidP="00B26BBC">
      <w:pPr>
        <w:rPr>
          <w:rFonts w:eastAsia="等线"/>
          <w:lang w:eastAsia="zh-CN"/>
        </w:rPr>
      </w:pPr>
      <w:r>
        <w:rPr>
          <w:rFonts w:eastAsia="等线" w:hint="eastAsia"/>
          <w:lang w:eastAsia="zh-CN"/>
        </w:rPr>
        <w:t>[</w:t>
      </w:r>
      <w:r w:rsidR="001B374D">
        <w:rPr>
          <w:rFonts w:eastAsia="等线"/>
          <w:lang w:eastAsia="zh-CN"/>
        </w:rPr>
        <w:t>3</w:t>
      </w:r>
      <w:r>
        <w:rPr>
          <w:rFonts w:eastAsia="等线"/>
          <w:lang w:eastAsia="zh-CN"/>
        </w:rPr>
        <w:t xml:space="preserve">] </w:t>
      </w:r>
      <w:hyperlink r:id="rId9" w:history="1">
        <w:r w:rsidRPr="0088734D">
          <w:rPr>
            <w:rFonts w:eastAsia="等线"/>
            <w:lang w:eastAsia="zh-CN"/>
          </w:rPr>
          <w:t>R4-2418139</w:t>
        </w:r>
      </w:hyperlink>
      <w:r>
        <w:rPr>
          <w:rFonts w:eastAsia="等线"/>
          <w:lang w:eastAsia="zh-CN"/>
        </w:rPr>
        <w:t xml:space="preserve">, </w:t>
      </w:r>
      <w:r w:rsidRPr="0088734D">
        <w:rPr>
          <w:rFonts w:eastAsia="等线"/>
          <w:lang w:eastAsia="zh-CN"/>
        </w:rPr>
        <w:t>Topic summary for [113][117] NR_ENDC_RF_Ph4_part2</w:t>
      </w:r>
      <w:r w:rsidRPr="0088734D">
        <w:rPr>
          <w:rFonts w:eastAsia="等线" w:hint="eastAsia"/>
          <w:lang w:eastAsia="zh-CN"/>
        </w:rPr>
        <w:t>,</w:t>
      </w:r>
      <w:r w:rsidRPr="0088734D">
        <w:rPr>
          <w:rFonts w:eastAsia="等线"/>
          <w:lang w:eastAsia="zh-CN"/>
        </w:rPr>
        <w:t xml:space="preserve"> Moderator (Samsung), </w:t>
      </w:r>
      <w:r w:rsidRPr="00FB03D9">
        <w:rPr>
          <w:rFonts w:eastAsia="等线"/>
          <w:lang w:eastAsia="zh-CN"/>
        </w:rPr>
        <w:t>RAN4#113</w:t>
      </w:r>
    </w:p>
    <w:sectPr w:rsidR="00B500DA" w:rsidSect="002B4B2F">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FE24A" w14:textId="77777777" w:rsidR="00F12A86" w:rsidRDefault="00F12A86">
      <w:r>
        <w:separator/>
      </w:r>
    </w:p>
  </w:endnote>
  <w:endnote w:type="continuationSeparator" w:id="0">
    <w:p w14:paraId="1B78F2D5" w14:textId="77777777" w:rsidR="00F12A86" w:rsidRDefault="00F1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0074F7F" w14:textId="77777777" w:rsidR="003200EF" w:rsidRDefault="003200E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3819D38" w14:textId="77777777" w:rsidR="003200EF" w:rsidRDefault="003200E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4EBCA" w14:textId="77777777" w:rsidR="00F12A86" w:rsidRDefault="00F12A86">
      <w:r>
        <w:separator/>
      </w:r>
    </w:p>
  </w:footnote>
  <w:footnote w:type="continuationSeparator" w:id="0">
    <w:p w14:paraId="45BCC4FB" w14:textId="77777777" w:rsidR="00F12A86" w:rsidRDefault="00F12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4C456D"/>
    <w:multiLevelType w:val="hybridMultilevel"/>
    <w:tmpl w:val="51EA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74E66"/>
    <w:multiLevelType w:val="hybridMultilevel"/>
    <w:tmpl w:val="1FA4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F27AA"/>
    <w:multiLevelType w:val="hybridMultilevel"/>
    <w:tmpl w:val="6E5AE6EE"/>
    <w:lvl w:ilvl="0" w:tplc="EEF49B16">
      <w:start w:val="1"/>
      <w:numFmt w:val="bullet"/>
      <w:lvlText w:val="•"/>
      <w:lvlJc w:val="left"/>
      <w:pPr>
        <w:tabs>
          <w:tab w:val="num" w:pos="720"/>
        </w:tabs>
        <w:ind w:left="720" w:hanging="360"/>
      </w:pPr>
      <w:rPr>
        <w:rFonts w:ascii="Arial" w:hAnsi="Arial" w:hint="default"/>
      </w:rPr>
    </w:lvl>
    <w:lvl w:ilvl="1" w:tplc="33E0767C">
      <w:numFmt w:val="bullet"/>
      <w:lvlText w:val="•"/>
      <w:lvlJc w:val="left"/>
      <w:pPr>
        <w:tabs>
          <w:tab w:val="num" w:pos="1440"/>
        </w:tabs>
        <w:ind w:left="1440" w:hanging="360"/>
      </w:pPr>
      <w:rPr>
        <w:rFonts w:ascii="Arial" w:hAnsi="Arial" w:hint="default"/>
      </w:rPr>
    </w:lvl>
    <w:lvl w:ilvl="2" w:tplc="F42CE378">
      <w:start w:val="1"/>
      <w:numFmt w:val="bullet"/>
      <w:lvlText w:val="•"/>
      <w:lvlJc w:val="left"/>
      <w:pPr>
        <w:tabs>
          <w:tab w:val="num" w:pos="2160"/>
        </w:tabs>
        <w:ind w:left="2160" w:hanging="360"/>
      </w:pPr>
      <w:rPr>
        <w:rFonts w:ascii="Arial" w:hAnsi="Arial" w:hint="default"/>
      </w:rPr>
    </w:lvl>
    <w:lvl w:ilvl="3" w:tplc="35066D84" w:tentative="1">
      <w:start w:val="1"/>
      <w:numFmt w:val="bullet"/>
      <w:lvlText w:val="•"/>
      <w:lvlJc w:val="left"/>
      <w:pPr>
        <w:tabs>
          <w:tab w:val="num" w:pos="2880"/>
        </w:tabs>
        <w:ind w:left="2880" w:hanging="360"/>
      </w:pPr>
      <w:rPr>
        <w:rFonts w:ascii="Arial" w:hAnsi="Arial" w:hint="default"/>
      </w:rPr>
    </w:lvl>
    <w:lvl w:ilvl="4" w:tplc="DDA20B86" w:tentative="1">
      <w:start w:val="1"/>
      <w:numFmt w:val="bullet"/>
      <w:lvlText w:val="•"/>
      <w:lvlJc w:val="left"/>
      <w:pPr>
        <w:tabs>
          <w:tab w:val="num" w:pos="3600"/>
        </w:tabs>
        <w:ind w:left="3600" w:hanging="360"/>
      </w:pPr>
      <w:rPr>
        <w:rFonts w:ascii="Arial" w:hAnsi="Arial" w:hint="default"/>
      </w:rPr>
    </w:lvl>
    <w:lvl w:ilvl="5" w:tplc="7286FE4A" w:tentative="1">
      <w:start w:val="1"/>
      <w:numFmt w:val="bullet"/>
      <w:lvlText w:val="•"/>
      <w:lvlJc w:val="left"/>
      <w:pPr>
        <w:tabs>
          <w:tab w:val="num" w:pos="4320"/>
        </w:tabs>
        <w:ind w:left="4320" w:hanging="360"/>
      </w:pPr>
      <w:rPr>
        <w:rFonts w:ascii="Arial" w:hAnsi="Arial" w:hint="default"/>
      </w:rPr>
    </w:lvl>
    <w:lvl w:ilvl="6" w:tplc="1114766A" w:tentative="1">
      <w:start w:val="1"/>
      <w:numFmt w:val="bullet"/>
      <w:lvlText w:val="•"/>
      <w:lvlJc w:val="left"/>
      <w:pPr>
        <w:tabs>
          <w:tab w:val="num" w:pos="5040"/>
        </w:tabs>
        <w:ind w:left="5040" w:hanging="360"/>
      </w:pPr>
      <w:rPr>
        <w:rFonts w:ascii="Arial" w:hAnsi="Arial" w:hint="default"/>
      </w:rPr>
    </w:lvl>
    <w:lvl w:ilvl="7" w:tplc="4AD2CEDE" w:tentative="1">
      <w:start w:val="1"/>
      <w:numFmt w:val="bullet"/>
      <w:lvlText w:val="•"/>
      <w:lvlJc w:val="left"/>
      <w:pPr>
        <w:tabs>
          <w:tab w:val="num" w:pos="5760"/>
        </w:tabs>
        <w:ind w:left="5760" w:hanging="360"/>
      </w:pPr>
      <w:rPr>
        <w:rFonts w:ascii="Arial" w:hAnsi="Arial" w:hint="default"/>
      </w:rPr>
    </w:lvl>
    <w:lvl w:ilvl="8" w:tplc="B6B016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86A41F5"/>
    <w:multiLevelType w:val="multilevel"/>
    <w:tmpl w:val="4ACCF1B2"/>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9" w15:restartNumberingAfterBreak="0">
    <w:nsid w:val="4F953C44"/>
    <w:multiLevelType w:val="hybridMultilevel"/>
    <w:tmpl w:val="6B46BE62"/>
    <w:lvl w:ilvl="0" w:tplc="2FC4C0DA">
      <w:start w:val="1"/>
      <w:numFmt w:val="bullet"/>
      <w:lvlText w:val="•"/>
      <w:lvlJc w:val="left"/>
      <w:pPr>
        <w:tabs>
          <w:tab w:val="num" w:pos="720"/>
        </w:tabs>
        <w:ind w:left="720" w:hanging="360"/>
      </w:pPr>
      <w:rPr>
        <w:rFonts w:ascii="Arial" w:hAnsi="Arial" w:hint="default"/>
      </w:rPr>
    </w:lvl>
    <w:lvl w:ilvl="1" w:tplc="F2F2E656">
      <w:numFmt w:val="bullet"/>
      <w:lvlText w:val="•"/>
      <w:lvlJc w:val="left"/>
      <w:pPr>
        <w:tabs>
          <w:tab w:val="num" w:pos="1440"/>
        </w:tabs>
        <w:ind w:left="1440" w:hanging="360"/>
      </w:pPr>
      <w:rPr>
        <w:rFonts w:ascii="Arial" w:hAnsi="Arial" w:hint="default"/>
      </w:rPr>
    </w:lvl>
    <w:lvl w:ilvl="2" w:tplc="EE9EC758">
      <w:numFmt w:val="bullet"/>
      <w:lvlText w:val="•"/>
      <w:lvlJc w:val="left"/>
      <w:pPr>
        <w:tabs>
          <w:tab w:val="num" w:pos="2160"/>
        </w:tabs>
        <w:ind w:left="2160" w:hanging="360"/>
      </w:pPr>
      <w:rPr>
        <w:rFonts w:ascii="Arial" w:hAnsi="Arial" w:hint="default"/>
      </w:rPr>
    </w:lvl>
    <w:lvl w:ilvl="3" w:tplc="08482DD8" w:tentative="1">
      <w:start w:val="1"/>
      <w:numFmt w:val="bullet"/>
      <w:lvlText w:val="•"/>
      <w:lvlJc w:val="left"/>
      <w:pPr>
        <w:tabs>
          <w:tab w:val="num" w:pos="2880"/>
        </w:tabs>
        <w:ind w:left="2880" w:hanging="360"/>
      </w:pPr>
      <w:rPr>
        <w:rFonts w:ascii="Arial" w:hAnsi="Arial" w:hint="default"/>
      </w:rPr>
    </w:lvl>
    <w:lvl w:ilvl="4" w:tplc="3B30EDAA" w:tentative="1">
      <w:start w:val="1"/>
      <w:numFmt w:val="bullet"/>
      <w:lvlText w:val="•"/>
      <w:lvlJc w:val="left"/>
      <w:pPr>
        <w:tabs>
          <w:tab w:val="num" w:pos="3600"/>
        </w:tabs>
        <w:ind w:left="3600" w:hanging="360"/>
      </w:pPr>
      <w:rPr>
        <w:rFonts w:ascii="Arial" w:hAnsi="Arial" w:hint="default"/>
      </w:rPr>
    </w:lvl>
    <w:lvl w:ilvl="5" w:tplc="2ED2B0F2" w:tentative="1">
      <w:start w:val="1"/>
      <w:numFmt w:val="bullet"/>
      <w:lvlText w:val="•"/>
      <w:lvlJc w:val="left"/>
      <w:pPr>
        <w:tabs>
          <w:tab w:val="num" w:pos="4320"/>
        </w:tabs>
        <w:ind w:left="4320" w:hanging="360"/>
      </w:pPr>
      <w:rPr>
        <w:rFonts w:ascii="Arial" w:hAnsi="Arial" w:hint="default"/>
      </w:rPr>
    </w:lvl>
    <w:lvl w:ilvl="6" w:tplc="EA98479C" w:tentative="1">
      <w:start w:val="1"/>
      <w:numFmt w:val="bullet"/>
      <w:lvlText w:val="•"/>
      <w:lvlJc w:val="left"/>
      <w:pPr>
        <w:tabs>
          <w:tab w:val="num" w:pos="5040"/>
        </w:tabs>
        <w:ind w:left="5040" w:hanging="360"/>
      </w:pPr>
      <w:rPr>
        <w:rFonts w:ascii="Arial" w:hAnsi="Arial" w:hint="default"/>
      </w:rPr>
    </w:lvl>
    <w:lvl w:ilvl="7" w:tplc="82D0FA6A" w:tentative="1">
      <w:start w:val="1"/>
      <w:numFmt w:val="bullet"/>
      <w:lvlText w:val="•"/>
      <w:lvlJc w:val="left"/>
      <w:pPr>
        <w:tabs>
          <w:tab w:val="num" w:pos="5760"/>
        </w:tabs>
        <w:ind w:left="5760" w:hanging="360"/>
      </w:pPr>
      <w:rPr>
        <w:rFonts w:ascii="Arial" w:hAnsi="Arial" w:hint="default"/>
      </w:rPr>
    </w:lvl>
    <w:lvl w:ilvl="8" w:tplc="70A4BB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3800B6"/>
    <w:multiLevelType w:val="hybridMultilevel"/>
    <w:tmpl w:val="7B3C4FA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42EFD"/>
    <w:multiLevelType w:val="hybridMultilevel"/>
    <w:tmpl w:val="B8CCF908"/>
    <w:lvl w:ilvl="0" w:tplc="585A02A0">
      <w:start w:val="1"/>
      <w:numFmt w:val="bullet"/>
      <w:lvlText w:val="•"/>
      <w:lvlJc w:val="left"/>
      <w:pPr>
        <w:tabs>
          <w:tab w:val="num" w:pos="720"/>
        </w:tabs>
        <w:ind w:left="720" w:hanging="360"/>
      </w:pPr>
      <w:rPr>
        <w:rFonts w:ascii="Arial" w:hAnsi="Arial" w:hint="default"/>
      </w:rPr>
    </w:lvl>
    <w:lvl w:ilvl="1" w:tplc="27A8A856">
      <w:numFmt w:val="bullet"/>
      <w:lvlText w:val="•"/>
      <w:lvlJc w:val="left"/>
      <w:pPr>
        <w:tabs>
          <w:tab w:val="num" w:pos="1440"/>
        </w:tabs>
        <w:ind w:left="1440" w:hanging="360"/>
      </w:pPr>
      <w:rPr>
        <w:rFonts w:ascii="Arial" w:hAnsi="Arial" w:hint="default"/>
      </w:rPr>
    </w:lvl>
    <w:lvl w:ilvl="2" w:tplc="662C0BBC" w:tentative="1">
      <w:start w:val="1"/>
      <w:numFmt w:val="bullet"/>
      <w:lvlText w:val="•"/>
      <w:lvlJc w:val="left"/>
      <w:pPr>
        <w:tabs>
          <w:tab w:val="num" w:pos="2160"/>
        </w:tabs>
        <w:ind w:left="2160" w:hanging="360"/>
      </w:pPr>
      <w:rPr>
        <w:rFonts w:ascii="Arial" w:hAnsi="Arial" w:hint="default"/>
      </w:rPr>
    </w:lvl>
    <w:lvl w:ilvl="3" w:tplc="AB02ED80" w:tentative="1">
      <w:start w:val="1"/>
      <w:numFmt w:val="bullet"/>
      <w:lvlText w:val="•"/>
      <w:lvlJc w:val="left"/>
      <w:pPr>
        <w:tabs>
          <w:tab w:val="num" w:pos="2880"/>
        </w:tabs>
        <w:ind w:left="2880" w:hanging="360"/>
      </w:pPr>
      <w:rPr>
        <w:rFonts w:ascii="Arial" w:hAnsi="Arial" w:hint="default"/>
      </w:rPr>
    </w:lvl>
    <w:lvl w:ilvl="4" w:tplc="F702B222" w:tentative="1">
      <w:start w:val="1"/>
      <w:numFmt w:val="bullet"/>
      <w:lvlText w:val="•"/>
      <w:lvlJc w:val="left"/>
      <w:pPr>
        <w:tabs>
          <w:tab w:val="num" w:pos="3600"/>
        </w:tabs>
        <w:ind w:left="3600" w:hanging="360"/>
      </w:pPr>
      <w:rPr>
        <w:rFonts w:ascii="Arial" w:hAnsi="Arial" w:hint="default"/>
      </w:rPr>
    </w:lvl>
    <w:lvl w:ilvl="5" w:tplc="34422E10" w:tentative="1">
      <w:start w:val="1"/>
      <w:numFmt w:val="bullet"/>
      <w:lvlText w:val="•"/>
      <w:lvlJc w:val="left"/>
      <w:pPr>
        <w:tabs>
          <w:tab w:val="num" w:pos="4320"/>
        </w:tabs>
        <w:ind w:left="4320" w:hanging="360"/>
      </w:pPr>
      <w:rPr>
        <w:rFonts w:ascii="Arial" w:hAnsi="Arial" w:hint="default"/>
      </w:rPr>
    </w:lvl>
    <w:lvl w:ilvl="6" w:tplc="8E76A620" w:tentative="1">
      <w:start w:val="1"/>
      <w:numFmt w:val="bullet"/>
      <w:lvlText w:val="•"/>
      <w:lvlJc w:val="left"/>
      <w:pPr>
        <w:tabs>
          <w:tab w:val="num" w:pos="5040"/>
        </w:tabs>
        <w:ind w:left="5040" w:hanging="360"/>
      </w:pPr>
      <w:rPr>
        <w:rFonts w:ascii="Arial" w:hAnsi="Arial" w:hint="default"/>
      </w:rPr>
    </w:lvl>
    <w:lvl w:ilvl="7" w:tplc="83C23946" w:tentative="1">
      <w:start w:val="1"/>
      <w:numFmt w:val="bullet"/>
      <w:lvlText w:val="•"/>
      <w:lvlJc w:val="left"/>
      <w:pPr>
        <w:tabs>
          <w:tab w:val="num" w:pos="5760"/>
        </w:tabs>
        <w:ind w:left="5760" w:hanging="360"/>
      </w:pPr>
      <w:rPr>
        <w:rFonts w:ascii="Arial" w:hAnsi="Arial" w:hint="default"/>
      </w:rPr>
    </w:lvl>
    <w:lvl w:ilvl="8" w:tplc="9F7A95C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1"/>
  </w:num>
  <w:num w:numId="3">
    <w:abstractNumId w:val="15"/>
  </w:num>
  <w:num w:numId="4">
    <w:abstractNumId w:val="31"/>
  </w:num>
  <w:num w:numId="5">
    <w:abstractNumId w:val="10"/>
  </w:num>
  <w:num w:numId="6">
    <w:abstractNumId w:val="5"/>
  </w:num>
  <w:num w:numId="7">
    <w:abstractNumId w:val="16"/>
  </w:num>
  <w:num w:numId="8">
    <w:abstractNumId w:val="8"/>
  </w:num>
  <w:num w:numId="9">
    <w:abstractNumId w:val="27"/>
  </w:num>
  <w:num w:numId="10">
    <w:abstractNumId w:val="0"/>
  </w:num>
  <w:num w:numId="11">
    <w:abstractNumId w:val="3"/>
  </w:num>
  <w:num w:numId="12">
    <w:abstractNumId w:val="28"/>
  </w:num>
  <w:num w:numId="13">
    <w:abstractNumId w:val="9"/>
  </w:num>
  <w:num w:numId="14">
    <w:abstractNumId w:val="25"/>
  </w:num>
  <w:num w:numId="15">
    <w:abstractNumId w:val="23"/>
  </w:num>
  <w:num w:numId="16">
    <w:abstractNumId w:val="26"/>
  </w:num>
  <w:num w:numId="17">
    <w:abstractNumId w:val="16"/>
  </w:num>
  <w:num w:numId="18">
    <w:abstractNumId w:val="2"/>
  </w:num>
  <w:num w:numId="19">
    <w:abstractNumId w:val="4"/>
  </w:num>
  <w:num w:numId="20">
    <w:abstractNumId w:val="29"/>
  </w:num>
  <w:num w:numId="21">
    <w:abstractNumId w:val="7"/>
  </w:num>
  <w:num w:numId="22">
    <w:abstractNumId w:val="16"/>
  </w:num>
  <w:num w:numId="23">
    <w:abstractNumId w:val="30"/>
  </w:num>
  <w:num w:numId="24">
    <w:abstractNumId w:val="14"/>
  </w:num>
  <w:num w:numId="25">
    <w:abstractNumId w:val="32"/>
  </w:num>
  <w:num w:numId="26">
    <w:abstractNumId w:val="19"/>
  </w:num>
  <w:num w:numId="27">
    <w:abstractNumId w:val="16"/>
  </w:num>
  <w:num w:numId="28">
    <w:abstractNumId w:val="1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1"/>
  </w:num>
  <w:num w:numId="31">
    <w:abstractNumId w:val="24"/>
  </w:num>
  <w:num w:numId="32">
    <w:abstractNumId w:val="22"/>
  </w:num>
  <w:num w:numId="33">
    <w:abstractNumId w:val="18"/>
  </w:num>
  <w:num w:numId="34">
    <w:abstractNumId w:val="13"/>
  </w:num>
  <w:num w:numId="35">
    <w:abstractNumId w:val="12"/>
  </w:num>
  <w:num w:numId="36">
    <w:abstractNumId w:val="1"/>
  </w:num>
  <w:num w:numId="37">
    <w:abstractNumId w:val="24"/>
  </w:num>
  <w:num w:numId="3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55C"/>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738"/>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BD8"/>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4FF8"/>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BAC"/>
    <w:rsid w:val="000B1F1E"/>
    <w:rsid w:val="000B2103"/>
    <w:rsid w:val="000B215A"/>
    <w:rsid w:val="000B28FB"/>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6D74"/>
    <w:rsid w:val="000D743F"/>
    <w:rsid w:val="000D765D"/>
    <w:rsid w:val="000D7986"/>
    <w:rsid w:val="000D7C54"/>
    <w:rsid w:val="000D7E31"/>
    <w:rsid w:val="000D7E93"/>
    <w:rsid w:val="000E014D"/>
    <w:rsid w:val="000E0647"/>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0F7EEB"/>
    <w:rsid w:val="00100615"/>
    <w:rsid w:val="0010092D"/>
    <w:rsid w:val="00100ED8"/>
    <w:rsid w:val="00100F1D"/>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1EC"/>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8E0"/>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71"/>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97C"/>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317"/>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74D"/>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C7B"/>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0A12"/>
    <w:rsid w:val="001E112C"/>
    <w:rsid w:val="001E182C"/>
    <w:rsid w:val="001E19B1"/>
    <w:rsid w:val="001E19CB"/>
    <w:rsid w:val="001E2050"/>
    <w:rsid w:val="001E2A0D"/>
    <w:rsid w:val="001E36E8"/>
    <w:rsid w:val="001E399C"/>
    <w:rsid w:val="001E3ABE"/>
    <w:rsid w:val="001E3B64"/>
    <w:rsid w:val="001E42AD"/>
    <w:rsid w:val="001E4374"/>
    <w:rsid w:val="001E4987"/>
    <w:rsid w:val="001E4C41"/>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111"/>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B5E"/>
    <w:rsid w:val="00216D41"/>
    <w:rsid w:val="00216D56"/>
    <w:rsid w:val="002173CC"/>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A56"/>
    <w:rsid w:val="00225CA5"/>
    <w:rsid w:val="00225E3F"/>
    <w:rsid w:val="002264BB"/>
    <w:rsid w:val="00226A72"/>
    <w:rsid w:val="00226D57"/>
    <w:rsid w:val="00226E14"/>
    <w:rsid w:val="002275D2"/>
    <w:rsid w:val="00227682"/>
    <w:rsid w:val="002278D9"/>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00C"/>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445"/>
    <w:rsid w:val="002575D7"/>
    <w:rsid w:val="002575EB"/>
    <w:rsid w:val="00257F80"/>
    <w:rsid w:val="0026008D"/>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0"/>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23E"/>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3B"/>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AA7"/>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767"/>
    <w:rsid w:val="00304F87"/>
    <w:rsid w:val="003053C0"/>
    <w:rsid w:val="0030598F"/>
    <w:rsid w:val="00305CF6"/>
    <w:rsid w:val="00306786"/>
    <w:rsid w:val="003068A1"/>
    <w:rsid w:val="00306A71"/>
    <w:rsid w:val="00307585"/>
    <w:rsid w:val="00307748"/>
    <w:rsid w:val="00307BDE"/>
    <w:rsid w:val="00307DAC"/>
    <w:rsid w:val="003102A3"/>
    <w:rsid w:val="0031062B"/>
    <w:rsid w:val="0031062C"/>
    <w:rsid w:val="00310844"/>
    <w:rsid w:val="0031088D"/>
    <w:rsid w:val="00310A1E"/>
    <w:rsid w:val="003111C0"/>
    <w:rsid w:val="003113CA"/>
    <w:rsid w:val="0031153D"/>
    <w:rsid w:val="00311578"/>
    <w:rsid w:val="00312591"/>
    <w:rsid w:val="00312B4E"/>
    <w:rsid w:val="00312CBC"/>
    <w:rsid w:val="00313C9C"/>
    <w:rsid w:val="003152A4"/>
    <w:rsid w:val="00315554"/>
    <w:rsid w:val="003157EA"/>
    <w:rsid w:val="0031609C"/>
    <w:rsid w:val="003160CD"/>
    <w:rsid w:val="00316758"/>
    <w:rsid w:val="00316B27"/>
    <w:rsid w:val="00316E2C"/>
    <w:rsid w:val="00317CBE"/>
    <w:rsid w:val="003200EF"/>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27CEF"/>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954"/>
    <w:rsid w:val="00334E15"/>
    <w:rsid w:val="0033529C"/>
    <w:rsid w:val="00335D0B"/>
    <w:rsid w:val="00335F7A"/>
    <w:rsid w:val="00335F81"/>
    <w:rsid w:val="0033686C"/>
    <w:rsid w:val="00336A6D"/>
    <w:rsid w:val="00336A98"/>
    <w:rsid w:val="0033755F"/>
    <w:rsid w:val="0033783A"/>
    <w:rsid w:val="003379E7"/>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6CA6"/>
    <w:rsid w:val="003475CD"/>
    <w:rsid w:val="00347818"/>
    <w:rsid w:val="00350393"/>
    <w:rsid w:val="00350E88"/>
    <w:rsid w:val="00350F2A"/>
    <w:rsid w:val="00351204"/>
    <w:rsid w:val="003527B2"/>
    <w:rsid w:val="003529B8"/>
    <w:rsid w:val="00352EED"/>
    <w:rsid w:val="00352F6E"/>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B99"/>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3D"/>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B3"/>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0BF"/>
    <w:rsid w:val="003B2249"/>
    <w:rsid w:val="003B2B4C"/>
    <w:rsid w:val="003B2FD4"/>
    <w:rsid w:val="003B3998"/>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3BE"/>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D7E74"/>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0CE"/>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15B"/>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CFC"/>
    <w:rsid w:val="00444DA8"/>
    <w:rsid w:val="00444EA5"/>
    <w:rsid w:val="004453CF"/>
    <w:rsid w:val="00445828"/>
    <w:rsid w:val="00445B93"/>
    <w:rsid w:val="00445CEA"/>
    <w:rsid w:val="00445FB2"/>
    <w:rsid w:val="004508E8"/>
    <w:rsid w:val="00450C01"/>
    <w:rsid w:val="004514B4"/>
    <w:rsid w:val="004518E0"/>
    <w:rsid w:val="00452487"/>
    <w:rsid w:val="004526DF"/>
    <w:rsid w:val="004529AD"/>
    <w:rsid w:val="00452BB4"/>
    <w:rsid w:val="00452D22"/>
    <w:rsid w:val="00453086"/>
    <w:rsid w:val="004549EC"/>
    <w:rsid w:val="00454D5C"/>
    <w:rsid w:val="00455D35"/>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32"/>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0D3"/>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1A4"/>
    <w:rsid w:val="004E14C9"/>
    <w:rsid w:val="004E23A7"/>
    <w:rsid w:val="004E2554"/>
    <w:rsid w:val="004E289D"/>
    <w:rsid w:val="004E2C5F"/>
    <w:rsid w:val="004E2F89"/>
    <w:rsid w:val="004E31BC"/>
    <w:rsid w:val="004E3817"/>
    <w:rsid w:val="004E4577"/>
    <w:rsid w:val="004E4A35"/>
    <w:rsid w:val="004E5418"/>
    <w:rsid w:val="004E58F2"/>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5F21"/>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042"/>
    <w:rsid w:val="00536850"/>
    <w:rsid w:val="00536AC8"/>
    <w:rsid w:val="00537430"/>
    <w:rsid w:val="005374E4"/>
    <w:rsid w:val="00540611"/>
    <w:rsid w:val="00541579"/>
    <w:rsid w:val="005424BE"/>
    <w:rsid w:val="005430FE"/>
    <w:rsid w:val="0054466D"/>
    <w:rsid w:val="005447C4"/>
    <w:rsid w:val="00544C4E"/>
    <w:rsid w:val="00545158"/>
    <w:rsid w:val="005452E2"/>
    <w:rsid w:val="00545C9D"/>
    <w:rsid w:val="00545F72"/>
    <w:rsid w:val="0054669F"/>
    <w:rsid w:val="005468DA"/>
    <w:rsid w:val="005468EB"/>
    <w:rsid w:val="00546EFC"/>
    <w:rsid w:val="0054769B"/>
    <w:rsid w:val="00547C2B"/>
    <w:rsid w:val="00547DFE"/>
    <w:rsid w:val="00550583"/>
    <w:rsid w:val="00550A34"/>
    <w:rsid w:val="00550C47"/>
    <w:rsid w:val="00550FDA"/>
    <w:rsid w:val="00551595"/>
    <w:rsid w:val="00551ED9"/>
    <w:rsid w:val="00551FE8"/>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17"/>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D0"/>
    <w:rsid w:val="00592465"/>
    <w:rsid w:val="005929A6"/>
    <w:rsid w:val="00592D69"/>
    <w:rsid w:val="00592F31"/>
    <w:rsid w:val="00594762"/>
    <w:rsid w:val="00595D9B"/>
    <w:rsid w:val="0059658E"/>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44D5"/>
    <w:rsid w:val="005D488E"/>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2141"/>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5C3"/>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0B9E"/>
    <w:rsid w:val="00621C92"/>
    <w:rsid w:val="0062322C"/>
    <w:rsid w:val="00623CC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AFF"/>
    <w:rsid w:val="00633CB5"/>
    <w:rsid w:val="00634B66"/>
    <w:rsid w:val="00634BD4"/>
    <w:rsid w:val="0063525A"/>
    <w:rsid w:val="00635496"/>
    <w:rsid w:val="00635498"/>
    <w:rsid w:val="006358BA"/>
    <w:rsid w:val="006358D6"/>
    <w:rsid w:val="006358FE"/>
    <w:rsid w:val="006365C0"/>
    <w:rsid w:val="00636864"/>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246"/>
    <w:rsid w:val="006523F3"/>
    <w:rsid w:val="00652C94"/>
    <w:rsid w:val="00653279"/>
    <w:rsid w:val="006533F5"/>
    <w:rsid w:val="00653D22"/>
    <w:rsid w:val="006550A4"/>
    <w:rsid w:val="006551B4"/>
    <w:rsid w:val="006554D4"/>
    <w:rsid w:val="0065569B"/>
    <w:rsid w:val="00656076"/>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7F"/>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896"/>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CEE"/>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2B5"/>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33A"/>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7C"/>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0DF"/>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2F22"/>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D86"/>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3031"/>
    <w:rsid w:val="007D42F7"/>
    <w:rsid w:val="007D4A84"/>
    <w:rsid w:val="007D4C41"/>
    <w:rsid w:val="007D55A4"/>
    <w:rsid w:val="007D57C7"/>
    <w:rsid w:val="007D5A89"/>
    <w:rsid w:val="007D5F98"/>
    <w:rsid w:val="007D6139"/>
    <w:rsid w:val="007D61E0"/>
    <w:rsid w:val="007D6903"/>
    <w:rsid w:val="007D69DB"/>
    <w:rsid w:val="007D6C92"/>
    <w:rsid w:val="007D6D9A"/>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AD3"/>
    <w:rsid w:val="00804EC6"/>
    <w:rsid w:val="00805355"/>
    <w:rsid w:val="00805B99"/>
    <w:rsid w:val="00805BA3"/>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0A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5C8"/>
    <w:rsid w:val="008307E4"/>
    <w:rsid w:val="00831007"/>
    <w:rsid w:val="0083105B"/>
    <w:rsid w:val="00831278"/>
    <w:rsid w:val="008314E4"/>
    <w:rsid w:val="00831A43"/>
    <w:rsid w:val="00831D04"/>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512"/>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8E7"/>
    <w:rsid w:val="00883CED"/>
    <w:rsid w:val="00884BEB"/>
    <w:rsid w:val="0088550C"/>
    <w:rsid w:val="00885D2B"/>
    <w:rsid w:val="00886244"/>
    <w:rsid w:val="008863CE"/>
    <w:rsid w:val="008865C6"/>
    <w:rsid w:val="00886795"/>
    <w:rsid w:val="00886D21"/>
    <w:rsid w:val="0088734D"/>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34D"/>
    <w:rsid w:val="008A478E"/>
    <w:rsid w:val="008A47A3"/>
    <w:rsid w:val="008A47CB"/>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621D"/>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9EE"/>
    <w:rsid w:val="008D0AF2"/>
    <w:rsid w:val="008D0F24"/>
    <w:rsid w:val="008D169B"/>
    <w:rsid w:val="008D201C"/>
    <w:rsid w:val="008D2040"/>
    <w:rsid w:val="008D2F33"/>
    <w:rsid w:val="008D356F"/>
    <w:rsid w:val="008D4328"/>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A39"/>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1DD"/>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0D95"/>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383"/>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185"/>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95"/>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02D"/>
    <w:rsid w:val="00A30DE1"/>
    <w:rsid w:val="00A31666"/>
    <w:rsid w:val="00A31D94"/>
    <w:rsid w:val="00A32390"/>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13D"/>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5A1B"/>
    <w:rsid w:val="00A9654E"/>
    <w:rsid w:val="00A967EE"/>
    <w:rsid w:val="00A9724B"/>
    <w:rsid w:val="00A972C8"/>
    <w:rsid w:val="00A97A3C"/>
    <w:rsid w:val="00AA0276"/>
    <w:rsid w:val="00AA061E"/>
    <w:rsid w:val="00AA0ABC"/>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00"/>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087"/>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051"/>
    <w:rsid w:val="00AD0141"/>
    <w:rsid w:val="00AD01A3"/>
    <w:rsid w:val="00AD04F7"/>
    <w:rsid w:val="00AD070D"/>
    <w:rsid w:val="00AD1A56"/>
    <w:rsid w:val="00AD1BAB"/>
    <w:rsid w:val="00AD1D7A"/>
    <w:rsid w:val="00AD1E28"/>
    <w:rsid w:val="00AD2074"/>
    <w:rsid w:val="00AD28C5"/>
    <w:rsid w:val="00AD28D9"/>
    <w:rsid w:val="00AD29C1"/>
    <w:rsid w:val="00AD2FE8"/>
    <w:rsid w:val="00AD31C0"/>
    <w:rsid w:val="00AD3378"/>
    <w:rsid w:val="00AD3733"/>
    <w:rsid w:val="00AD3782"/>
    <w:rsid w:val="00AD3819"/>
    <w:rsid w:val="00AD39D7"/>
    <w:rsid w:val="00AD3FFE"/>
    <w:rsid w:val="00AD41A4"/>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583"/>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4F"/>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EAB"/>
    <w:rsid w:val="00B22F46"/>
    <w:rsid w:val="00B231DB"/>
    <w:rsid w:val="00B23369"/>
    <w:rsid w:val="00B23DBF"/>
    <w:rsid w:val="00B24051"/>
    <w:rsid w:val="00B24D2B"/>
    <w:rsid w:val="00B25421"/>
    <w:rsid w:val="00B256B8"/>
    <w:rsid w:val="00B25D5C"/>
    <w:rsid w:val="00B2609B"/>
    <w:rsid w:val="00B264D8"/>
    <w:rsid w:val="00B26559"/>
    <w:rsid w:val="00B26BB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9EB"/>
    <w:rsid w:val="00B36ABA"/>
    <w:rsid w:val="00B36F8F"/>
    <w:rsid w:val="00B37330"/>
    <w:rsid w:val="00B37649"/>
    <w:rsid w:val="00B37662"/>
    <w:rsid w:val="00B377DD"/>
    <w:rsid w:val="00B3783F"/>
    <w:rsid w:val="00B37C64"/>
    <w:rsid w:val="00B37F54"/>
    <w:rsid w:val="00B4094F"/>
    <w:rsid w:val="00B40A88"/>
    <w:rsid w:val="00B40D47"/>
    <w:rsid w:val="00B41437"/>
    <w:rsid w:val="00B41824"/>
    <w:rsid w:val="00B41B72"/>
    <w:rsid w:val="00B421B5"/>
    <w:rsid w:val="00B4257B"/>
    <w:rsid w:val="00B42806"/>
    <w:rsid w:val="00B43516"/>
    <w:rsid w:val="00B43EC2"/>
    <w:rsid w:val="00B44287"/>
    <w:rsid w:val="00B444DF"/>
    <w:rsid w:val="00B44EE3"/>
    <w:rsid w:val="00B45243"/>
    <w:rsid w:val="00B458DE"/>
    <w:rsid w:val="00B45EDF"/>
    <w:rsid w:val="00B46708"/>
    <w:rsid w:val="00B46D69"/>
    <w:rsid w:val="00B470EF"/>
    <w:rsid w:val="00B47509"/>
    <w:rsid w:val="00B500DA"/>
    <w:rsid w:val="00B50FE9"/>
    <w:rsid w:val="00B512DB"/>
    <w:rsid w:val="00B51FC3"/>
    <w:rsid w:val="00B52FFE"/>
    <w:rsid w:val="00B5300A"/>
    <w:rsid w:val="00B5304C"/>
    <w:rsid w:val="00B54ED7"/>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3C4"/>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54B0"/>
    <w:rsid w:val="00B760C8"/>
    <w:rsid w:val="00B7611D"/>
    <w:rsid w:val="00B7663F"/>
    <w:rsid w:val="00B76B06"/>
    <w:rsid w:val="00B777FC"/>
    <w:rsid w:val="00B77837"/>
    <w:rsid w:val="00B80A5B"/>
    <w:rsid w:val="00B80E56"/>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31D"/>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1E2"/>
    <w:rsid w:val="00BC35F1"/>
    <w:rsid w:val="00BC3805"/>
    <w:rsid w:val="00BC38B3"/>
    <w:rsid w:val="00BC38C6"/>
    <w:rsid w:val="00BC3982"/>
    <w:rsid w:val="00BC3A99"/>
    <w:rsid w:val="00BC3C0F"/>
    <w:rsid w:val="00BC3E24"/>
    <w:rsid w:val="00BC4090"/>
    <w:rsid w:val="00BC4C1F"/>
    <w:rsid w:val="00BC55CA"/>
    <w:rsid w:val="00BC5E4F"/>
    <w:rsid w:val="00BC626B"/>
    <w:rsid w:val="00BC65B1"/>
    <w:rsid w:val="00BC65F1"/>
    <w:rsid w:val="00BC6942"/>
    <w:rsid w:val="00BC763C"/>
    <w:rsid w:val="00BC7B0E"/>
    <w:rsid w:val="00BD047C"/>
    <w:rsid w:val="00BD0832"/>
    <w:rsid w:val="00BD0DD5"/>
    <w:rsid w:val="00BD1034"/>
    <w:rsid w:val="00BD10F6"/>
    <w:rsid w:val="00BD1942"/>
    <w:rsid w:val="00BD1D1B"/>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00E9"/>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000"/>
    <w:rsid w:val="00C137A0"/>
    <w:rsid w:val="00C13B9C"/>
    <w:rsid w:val="00C156CE"/>
    <w:rsid w:val="00C15E92"/>
    <w:rsid w:val="00C17386"/>
    <w:rsid w:val="00C17643"/>
    <w:rsid w:val="00C17E5C"/>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0D3F"/>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353"/>
    <w:rsid w:val="00C51773"/>
    <w:rsid w:val="00C520C5"/>
    <w:rsid w:val="00C525C7"/>
    <w:rsid w:val="00C52639"/>
    <w:rsid w:val="00C52E23"/>
    <w:rsid w:val="00C53027"/>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4C29"/>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931"/>
    <w:rsid w:val="00CB30B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265"/>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3D2B"/>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3B1"/>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0C86"/>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53B"/>
    <w:rsid w:val="00D35EF1"/>
    <w:rsid w:val="00D36115"/>
    <w:rsid w:val="00D3648F"/>
    <w:rsid w:val="00D36495"/>
    <w:rsid w:val="00D3704D"/>
    <w:rsid w:val="00D40615"/>
    <w:rsid w:val="00D41504"/>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A0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439"/>
    <w:rsid w:val="00D77849"/>
    <w:rsid w:val="00D7795F"/>
    <w:rsid w:val="00D8001F"/>
    <w:rsid w:val="00D80D55"/>
    <w:rsid w:val="00D8110F"/>
    <w:rsid w:val="00D8131C"/>
    <w:rsid w:val="00D819A9"/>
    <w:rsid w:val="00D81B51"/>
    <w:rsid w:val="00D8230F"/>
    <w:rsid w:val="00D82997"/>
    <w:rsid w:val="00D82E70"/>
    <w:rsid w:val="00D83015"/>
    <w:rsid w:val="00D831F2"/>
    <w:rsid w:val="00D837DA"/>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226"/>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49A5"/>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A11"/>
    <w:rsid w:val="00DF3E1F"/>
    <w:rsid w:val="00DF4445"/>
    <w:rsid w:val="00DF483D"/>
    <w:rsid w:val="00DF513E"/>
    <w:rsid w:val="00DF53DD"/>
    <w:rsid w:val="00DF53EB"/>
    <w:rsid w:val="00DF5DBC"/>
    <w:rsid w:val="00DF5E57"/>
    <w:rsid w:val="00DF64ED"/>
    <w:rsid w:val="00DF66BA"/>
    <w:rsid w:val="00DF66D9"/>
    <w:rsid w:val="00DF67CA"/>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6969"/>
    <w:rsid w:val="00E07133"/>
    <w:rsid w:val="00E07C0A"/>
    <w:rsid w:val="00E106E5"/>
    <w:rsid w:val="00E10803"/>
    <w:rsid w:val="00E11245"/>
    <w:rsid w:val="00E1127E"/>
    <w:rsid w:val="00E11A21"/>
    <w:rsid w:val="00E11FD5"/>
    <w:rsid w:val="00E12243"/>
    <w:rsid w:val="00E1240C"/>
    <w:rsid w:val="00E1246D"/>
    <w:rsid w:val="00E125E0"/>
    <w:rsid w:val="00E128A8"/>
    <w:rsid w:val="00E13CA2"/>
    <w:rsid w:val="00E13E07"/>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1CC9"/>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01B3"/>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0B34"/>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6C2"/>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1EA"/>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19B"/>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B5C"/>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1A50"/>
    <w:rsid w:val="00EC21BB"/>
    <w:rsid w:val="00EC237C"/>
    <w:rsid w:val="00EC28D1"/>
    <w:rsid w:val="00EC29CC"/>
    <w:rsid w:val="00EC2FF8"/>
    <w:rsid w:val="00EC363B"/>
    <w:rsid w:val="00EC3A14"/>
    <w:rsid w:val="00EC3F40"/>
    <w:rsid w:val="00EC3FEB"/>
    <w:rsid w:val="00EC444E"/>
    <w:rsid w:val="00EC4766"/>
    <w:rsid w:val="00EC4C1A"/>
    <w:rsid w:val="00EC5766"/>
    <w:rsid w:val="00EC7539"/>
    <w:rsid w:val="00EC7862"/>
    <w:rsid w:val="00EC796D"/>
    <w:rsid w:val="00ED0534"/>
    <w:rsid w:val="00ED0EF5"/>
    <w:rsid w:val="00ED13C4"/>
    <w:rsid w:val="00ED1544"/>
    <w:rsid w:val="00ED16DB"/>
    <w:rsid w:val="00ED1AC8"/>
    <w:rsid w:val="00ED1F4A"/>
    <w:rsid w:val="00ED1F4E"/>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737"/>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A86"/>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2EA3"/>
    <w:rsid w:val="00F64431"/>
    <w:rsid w:val="00F6495F"/>
    <w:rsid w:val="00F64CE8"/>
    <w:rsid w:val="00F64D1D"/>
    <w:rsid w:val="00F65D26"/>
    <w:rsid w:val="00F6614C"/>
    <w:rsid w:val="00F664CE"/>
    <w:rsid w:val="00F664DB"/>
    <w:rsid w:val="00F66992"/>
    <w:rsid w:val="00F67204"/>
    <w:rsid w:val="00F672BB"/>
    <w:rsid w:val="00F67472"/>
    <w:rsid w:val="00F67AC3"/>
    <w:rsid w:val="00F701CA"/>
    <w:rsid w:val="00F7027D"/>
    <w:rsid w:val="00F703A4"/>
    <w:rsid w:val="00F703D1"/>
    <w:rsid w:val="00F70418"/>
    <w:rsid w:val="00F707CE"/>
    <w:rsid w:val="00F70D1C"/>
    <w:rsid w:val="00F7117D"/>
    <w:rsid w:val="00F7118D"/>
    <w:rsid w:val="00F716E5"/>
    <w:rsid w:val="00F71B15"/>
    <w:rsid w:val="00F71CB9"/>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3D9"/>
    <w:rsid w:val="00FB05A4"/>
    <w:rsid w:val="00FB066E"/>
    <w:rsid w:val="00FB0E0B"/>
    <w:rsid w:val="00FB20EC"/>
    <w:rsid w:val="00FB2358"/>
    <w:rsid w:val="00FB330D"/>
    <w:rsid w:val="00FB349A"/>
    <w:rsid w:val="00FB39BF"/>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97A"/>
    <w:rsid w:val="00FC4A63"/>
    <w:rsid w:val="00FC4D12"/>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A37"/>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4E97"/>
    <w:rsid w:val="00FE52F2"/>
    <w:rsid w:val="00FE5B13"/>
    <w:rsid w:val="00FE5D9E"/>
    <w:rsid w:val="00FE5F88"/>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5688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清單段落1,목록단락,列"/>
    <w:basedOn w:val="a1"/>
    <w:uiPriority w:val="34"/>
    <w:qFormat/>
    <w:rsid w:val="00E821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423508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08019703">
      <w:bodyDiv w:val="1"/>
      <w:marLeft w:val="0"/>
      <w:marRight w:val="0"/>
      <w:marTop w:val="0"/>
      <w:marBottom w:val="0"/>
      <w:divBdr>
        <w:top w:val="none" w:sz="0" w:space="0" w:color="auto"/>
        <w:left w:val="none" w:sz="0" w:space="0" w:color="auto"/>
        <w:bottom w:val="none" w:sz="0" w:space="0" w:color="auto"/>
        <w:right w:val="none" w:sz="0" w:space="0" w:color="auto"/>
      </w:divBdr>
      <w:divsChild>
        <w:div w:id="1234126233">
          <w:marLeft w:val="360"/>
          <w:marRight w:val="0"/>
          <w:marTop w:val="200"/>
          <w:marBottom w:val="0"/>
          <w:divBdr>
            <w:top w:val="none" w:sz="0" w:space="0" w:color="auto"/>
            <w:left w:val="none" w:sz="0" w:space="0" w:color="auto"/>
            <w:bottom w:val="none" w:sz="0" w:space="0" w:color="auto"/>
            <w:right w:val="none" w:sz="0" w:space="0" w:color="auto"/>
          </w:divBdr>
        </w:div>
        <w:div w:id="407389570">
          <w:marLeft w:val="1080"/>
          <w:marRight w:val="0"/>
          <w:marTop w:val="100"/>
          <w:marBottom w:val="0"/>
          <w:divBdr>
            <w:top w:val="none" w:sz="0" w:space="0" w:color="auto"/>
            <w:left w:val="none" w:sz="0" w:space="0" w:color="auto"/>
            <w:bottom w:val="none" w:sz="0" w:space="0" w:color="auto"/>
            <w:right w:val="none" w:sz="0" w:space="0" w:color="auto"/>
          </w:divBdr>
        </w:div>
        <w:div w:id="50420598">
          <w:marLeft w:val="1080"/>
          <w:marRight w:val="0"/>
          <w:marTop w:val="100"/>
          <w:marBottom w:val="0"/>
          <w:divBdr>
            <w:top w:val="none" w:sz="0" w:space="0" w:color="auto"/>
            <w:left w:val="none" w:sz="0" w:space="0" w:color="auto"/>
            <w:bottom w:val="none" w:sz="0" w:space="0" w:color="auto"/>
            <w:right w:val="none" w:sz="0" w:space="0" w:color="auto"/>
          </w:divBdr>
        </w:div>
        <w:div w:id="1702242107">
          <w:marLeft w:val="1080"/>
          <w:marRight w:val="0"/>
          <w:marTop w:val="100"/>
          <w:marBottom w:val="0"/>
          <w:divBdr>
            <w:top w:val="none" w:sz="0" w:space="0" w:color="auto"/>
            <w:left w:val="none" w:sz="0" w:space="0" w:color="auto"/>
            <w:bottom w:val="none" w:sz="0" w:space="0" w:color="auto"/>
            <w:right w:val="none" w:sz="0" w:space="0" w:color="auto"/>
          </w:divBdr>
        </w:div>
        <w:div w:id="1195536077">
          <w:marLeft w:val="1080"/>
          <w:marRight w:val="0"/>
          <w:marTop w:val="100"/>
          <w:marBottom w:val="0"/>
          <w:divBdr>
            <w:top w:val="none" w:sz="0" w:space="0" w:color="auto"/>
            <w:left w:val="none" w:sz="0" w:space="0" w:color="auto"/>
            <w:bottom w:val="none" w:sz="0" w:space="0" w:color="auto"/>
            <w:right w:val="none" w:sz="0" w:space="0" w:color="auto"/>
          </w:divBdr>
        </w:div>
        <w:div w:id="287590016">
          <w:marLeft w:val="1080"/>
          <w:marRight w:val="0"/>
          <w:marTop w:val="100"/>
          <w:marBottom w:val="0"/>
          <w:divBdr>
            <w:top w:val="none" w:sz="0" w:space="0" w:color="auto"/>
            <w:left w:val="none" w:sz="0" w:space="0" w:color="auto"/>
            <w:bottom w:val="none" w:sz="0" w:space="0" w:color="auto"/>
            <w:right w:val="none" w:sz="0" w:space="0" w:color="auto"/>
          </w:divBdr>
        </w:div>
        <w:div w:id="1144856470">
          <w:marLeft w:val="360"/>
          <w:marRight w:val="0"/>
          <w:marTop w:val="200"/>
          <w:marBottom w:val="0"/>
          <w:divBdr>
            <w:top w:val="none" w:sz="0" w:space="0" w:color="auto"/>
            <w:left w:val="none" w:sz="0" w:space="0" w:color="auto"/>
            <w:bottom w:val="none" w:sz="0" w:space="0" w:color="auto"/>
            <w:right w:val="none" w:sz="0" w:space="0" w:color="auto"/>
          </w:divBdr>
        </w:div>
        <w:div w:id="1864703550">
          <w:marLeft w:val="1080"/>
          <w:marRight w:val="0"/>
          <w:marTop w:val="100"/>
          <w:marBottom w:val="0"/>
          <w:divBdr>
            <w:top w:val="none" w:sz="0" w:space="0" w:color="auto"/>
            <w:left w:val="none" w:sz="0" w:space="0" w:color="auto"/>
            <w:bottom w:val="none" w:sz="0" w:space="0" w:color="auto"/>
            <w:right w:val="none" w:sz="0" w:space="0" w:color="auto"/>
          </w:divBdr>
        </w:div>
        <w:div w:id="89200383">
          <w:marLeft w:val="1080"/>
          <w:marRight w:val="0"/>
          <w:marTop w:val="100"/>
          <w:marBottom w:val="0"/>
          <w:divBdr>
            <w:top w:val="none" w:sz="0" w:space="0" w:color="auto"/>
            <w:left w:val="none" w:sz="0" w:space="0" w:color="auto"/>
            <w:bottom w:val="none" w:sz="0" w:space="0" w:color="auto"/>
            <w:right w:val="none" w:sz="0" w:space="0" w:color="auto"/>
          </w:divBdr>
        </w:div>
        <w:div w:id="1371370747">
          <w:marLeft w:val="1080"/>
          <w:marRight w:val="0"/>
          <w:marTop w:val="100"/>
          <w:marBottom w:val="0"/>
          <w:divBdr>
            <w:top w:val="none" w:sz="0" w:space="0" w:color="auto"/>
            <w:left w:val="none" w:sz="0" w:space="0" w:color="auto"/>
            <w:bottom w:val="none" w:sz="0" w:space="0" w:color="auto"/>
            <w:right w:val="none" w:sz="0" w:space="0" w:color="auto"/>
          </w:divBdr>
        </w:div>
        <w:div w:id="463694093">
          <w:marLeft w:val="1080"/>
          <w:marRight w:val="0"/>
          <w:marTop w:val="1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40995604">
      <w:bodyDiv w:val="1"/>
      <w:marLeft w:val="0"/>
      <w:marRight w:val="0"/>
      <w:marTop w:val="0"/>
      <w:marBottom w:val="0"/>
      <w:divBdr>
        <w:top w:val="none" w:sz="0" w:space="0" w:color="auto"/>
        <w:left w:val="none" w:sz="0" w:space="0" w:color="auto"/>
        <w:bottom w:val="none" w:sz="0" w:space="0" w:color="auto"/>
        <w:right w:val="none" w:sz="0" w:space="0" w:color="auto"/>
      </w:divBdr>
      <w:divsChild>
        <w:div w:id="923295223">
          <w:marLeft w:val="360"/>
          <w:marRight w:val="0"/>
          <w:marTop w:val="200"/>
          <w:marBottom w:val="0"/>
          <w:divBdr>
            <w:top w:val="none" w:sz="0" w:space="0" w:color="auto"/>
            <w:left w:val="none" w:sz="0" w:space="0" w:color="auto"/>
            <w:bottom w:val="none" w:sz="0" w:space="0" w:color="auto"/>
            <w:right w:val="none" w:sz="0" w:space="0" w:color="auto"/>
          </w:divBdr>
        </w:div>
        <w:div w:id="1064066910">
          <w:marLeft w:val="1080"/>
          <w:marRight w:val="0"/>
          <w:marTop w:val="100"/>
          <w:marBottom w:val="0"/>
          <w:divBdr>
            <w:top w:val="none" w:sz="0" w:space="0" w:color="auto"/>
            <w:left w:val="none" w:sz="0" w:space="0" w:color="auto"/>
            <w:bottom w:val="none" w:sz="0" w:space="0" w:color="auto"/>
            <w:right w:val="none" w:sz="0" w:space="0" w:color="auto"/>
          </w:divBdr>
        </w:div>
        <w:div w:id="940645852">
          <w:marLeft w:val="1080"/>
          <w:marRight w:val="0"/>
          <w:marTop w:val="100"/>
          <w:marBottom w:val="0"/>
          <w:divBdr>
            <w:top w:val="none" w:sz="0" w:space="0" w:color="auto"/>
            <w:left w:val="none" w:sz="0" w:space="0" w:color="auto"/>
            <w:bottom w:val="none" w:sz="0" w:space="0" w:color="auto"/>
            <w:right w:val="none" w:sz="0" w:space="0" w:color="auto"/>
          </w:divBdr>
        </w:div>
        <w:div w:id="1960911408">
          <w:marLeft w:val="1080"/>
          <w:marRight w:val="0"/>
          <w:marTop w:val="100"/>
          <w:marBottom w:val="0"/>
          <w:divBdr>
            <w:top w:val="none" w:sz="0" w:space="0" w:color="auto"/>
            <w:left w:val="none" w:sz="0" w:space="0" w:color="auto"/>
            <w:bottom w:val="none" w:sz="0" w:space="0" w:color="auto"/>
            <w:right w:val="none" w:sz="0" w:space="0" w:color="auto"/>
          </w:divBdr>
        </w:div>
        <w:div w:id="201944549">
          <w:marLeft w:val="1080"/>
          <w:marRight w:val="0"/>
          <w:marTop w:val="100"/>
          <w:marBottom w:val="0"/>
          <w:divBdr>
            <w:top w:val="none" w:sz="0" w:space="0" w:color="auto"/>
            <w:left w:val="none" w:sz="0" w:space="0" w:color="auto"/>
            <w:bottom w:val="none" w:sz="0" w:space="0" w:color="auto"/>
            <w:right w:val="none" w:sz="0" w:space="0" w:color="auto"/>
          </w:divBdr>
        </w:div>
        <w:div w:id="2133743630">
          <w:marLeft w:val="360"/>
          <w:marRight w:val="0"/>
          <w:marTop w:val="200"/>
          <w:marBottom w:val="0"/>
          <w:divBdr>
            <w:top w:val="none" w:sz="0" w:space="0" w:color="auto"/>
            <w:left w:val="none" w:sz="0" w:space="0" w:color="auto"/>
            <w:bottom w:val="none" w:sz="0" w:space="0" w:color="auto"/>
            <w:right w:val="none" w:sz="0" w:space="0" w:color="auto"/>
          </w:divBdr>
        </w:div>
        <w:div w:id="904798762">
          <w:marLeft w:val="1080"/>
          <w:marRight w:val="0"/>
          <w:marTop w:val="100"/>
          <w:marBottom w:val="0"/>
          <w:divBdr>
            <w:top w:val="none" w:sz="0" w:space="0" w:color="auto"/>
            <w:left w:val="none" w:sz="0" w:space="0" w:color="auto"/>
            <w:bottom w:val="none" w:sz="0" w:space="0" w:color="auto"/>
            <w:right w:val="none" w:sz="0" w:space="0" w:color="auto"/>
          </w:divBdr>
        </w:div>
        <w:div w:id="314340449">
          <w:marLeft w:val="1080"/>
          <w:marRight w:val="0"/>
          <w:marTop w:val="100"/>
          <w:marBottom w:val="0"/>
          <w:divBdr>
            <w:top w:val="none" w:sz="0" w:space="0" w:color="auto"/>
            <w:left w:val="none" w:sz="0" w:space="0" w:color="auto"/>
            <w:bottom w:val="none" w:sz="0" w:space="0" w:color="auto"/>
            <w:right w:val="none" w:sz="0" w:space="0" w:color="auto"/>
          </w:divBdr>
        </w:div>
        <w:div w:id="261501566">
          <w:marLeft w:val="360"/>
          <w:marRight w:val="0"/>
          <w:marTop w:val="200"/>
          <w:marBottom w:val="0"/>
          <w:divBdr>
            <w:top w:val="none" w:sz="0" w:space="0" w:color="auto"/>
            <w:left w:val="none" w:sz="0" w:space="0" w:color="auto"/>
            <w:bottom w:val="none" w:sz="0" w:space="0" w:color="auto"/>
            <w:right w:val="none" w:sz="0" w:space="0" w:color="auto"/>
          </w:divBdr>
        </w:div>
        <w:div w:id="1353074721">
          <w:marLeft w:val="1080"/>
          <w:marRight w:val="0"/>
          <w:marTop w:val="100"/>
          <w:marBottom w:val="0"/>
          <w:divBdr>
            <w:top w:val="none" w:sz="0" w:space="0" w:color="auto"/>
            <w:left w:val="none" w:sz="0" w:space="0" w:color="auto"/>
            <w:bottom w:val="none" w:sz="0" w:space="0" w:color="auto"/>
            <w:right w:val="none" w:sz="0" w:space="0" w:color="auto"/>
          </w:divBdr>
        </w:div>
        <w:div w:id="188957657">
          <w:marLeft w:val="1080"/>
          <w:marRight w:val="0"/>
          <w:marTop w:val="100"/>
          <w:marBottom w:val="0"/>
          <w:divBdr>
            <w:top w:val="none" w:sz="0" w:space="0" w:color="auto"/>
            <w:left w:val="none" w:sz="0" w:space="0" w:color="auto"/>
            <w:bottom w:val="none" w:sz="0" w:space="0" w:color="auto"/>
            <w:right w:val="none" w:sz="0" w:space="0" w:color="auto"/>
          </w:divBdr>
        </w:div>
        <w:div w:id="1402097035">
          <w:marLeft w:val="360"/>
          <w:marRight w:val="0"/>
          <w:marTop w:val="200"/>
          <w:marBottom w:val="0"/>
          <w:divBdr>
            <w:top w:val="none" w:sz="0" w:space="0" w:color="auto"/>
            <w:left w:val="none" w:sz="0" w:space="0" w:color="auto"/>
            <w:bottom w:val="none" w:sz="0" w:space="0" w:color="auto"/>
            <w:right w:val="none" w:sz="0" w:space="0" w:color="auto"/>
          </w:divBdr>
        </w:div>
        <w:div w:id="221186264">
          <w:marLeft w:val="360"/>
          <w:marRight w:val="0"/>
          <w:marTop w:val="200"/>
          <w:marBottom w:val="0"/>
          <w:divBdr>
            <w:top w:val="none" w:sz="0" w:space="0" w:color="auto"/>
            <w:left w:val="none" w:sz="0" w:space="0" w:color="auto"/>
            <w:bottom w:val="none" w:sz="0" w:space="0" w:color="auto"/>
            <w:right w:val="none" w:sz="0" w:space="0" w:color="auto"/>
          </w:divBdr>
        </w:div>
      </w:divsChild>
    </w:div>
    <w:div w:id="1145856705">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83375521">
      <w:bodyDiv w:val="1"/>
      <w:marLeft w:val="0"/>
      <w:marRight w:val="0"/>
      <w:marTop w:val="0"/>
      <w:marBottom w:val="0"/>
      <w:divBdr>
        <w:top w:val="none" w:sz="0" w:space="0" w:color="auto"/>
        <w:left w:val="none" w:sz="0" w:space="0" w:color="auto"/>
        <w:bottom w:val="none" w:sz="0" w:space="0" w:color="auto"/>
        <w:right w:val="none" w:sz="0" w:space="0" w:color="auto"/>
      </w:divBdr>
      <w:divsChild>
        <w:div w:id="311834653">
          <w:marLeft w:val="360"/>
          <w:marRight w:val="0"/>
          <w:marTop w:val="200"/>
          <w:marBottom w:val="0"/>
          <w:divBdr>
            <w:top w:val="none" w:sz="0" w:space="0" w:color="auto"/>
            <w:left w:val="none" w:sz="0" w:space="0" w:color="auto"/>
            <w:bottom w:val="none" w:sz="0" w:space="0" w:color="auto"/>
            <w:right w:val="none" w:sz="0" w:space="0" w:color="auto"/>
          </w:divBdr>
        </w:div>
        <w:div w:id="1750271806">
          <w:marLeft w:val="1080"/>
          <w:marRight w:val="0"/>
          <w:marTop w:val="100"/>
          <w:marBottom w:val="0"/>
          <w:divBdr>
            <w:top w:val="none" w:sz="0" w:space="0" w:color="auto"/>
            <w:left w:val="none" w:sz="0" w:space="0" w:color="auto"/>
            <w:bottom w:val="none" w:sz="0" w:space="0" w:color="auto"/>
            <w:right w:val="none" w:sz="0" w:space="0" w:color="auto"/>
          </w:divBdr>
        </w:div>
        <w:div w:id="1587882592">
          <w:marLeft w:val="1080"/>
          <w:marRight w:val="0"/>
          <w:marTop w:val="100"/>
          <w:marBottom w:val="0"/>
          <w:divBdr>
            <w:top w:val="none" w:sz="0" w:space="0" w:color="auto"/>
            <w:left w:val="none" w:sz="0" w:space="0" w:color="auto"/>
            <w:bottom w:val="none" w:sz="0" w:space="0" w:color="auto"/>
            <w:right w:val="none" w:sz="0" w:space="0" w:color="auto"/>
          </w:divBdr>
        </w:div>
        <w:div w:id="1600914356">
          <w:marLeft w:val="1080"/>
          <w:marRight w:val="0"/>
          <w:marTop w:val="100"/>
          <w:marBottom w:val="0"/>
          <w:divBdr>
            <w:top w:val="none" w:sz="0" w:space="0" w:color="auto"/>
            <w:left w:val="none" w:sz="0" w:space="0" w:color="auto"/>
            <w:bottom w:val="none" w:sz="0" w:space="0" w:color="auto"/>
            <w:right w:val="none" w:sz="0" w:space="0" w:color="auto"/>
          </w:divBdr>
        </w:div>
        <w:div w:id="1135760011">
          <w:marLeft w:val="1080"/>
          <w:marRight w:val="0"/>
          <w:marTop w:val="100"/>
          <w:marBottom w:val="0"/>
          <w:divBdr>
            <w:top w:val="none" w:sz="0" w:space="0" w:color="auto"/>
            <w:left w:val="none" w:sz="0" w:space="0" w:color="auto"/>
            <w:bottom w:val="none" w:sz="0" w:space="0" w:color="auto"/>
            <w:right w:val="none" w:sz="0" w:space="0" w:color="auto"/>
          </w:divBdr>
        </w:div>
        <w:div w:id="1695574631">
          <w:marLeft w:val="1800"/>
          <w:marRight w:val="0"/>
          <w:marTop w:val="100"/>
          <w:marBottom w:val="0"/>
          <w:divBdr>
            <w:top w:val="none" w:sz="0" w:space="0" w:color="auto"/>
            <w:left w:val="none" w:sz="0" w:space="0" w:color="auto"/>
            <w:bottom w:val="none" w:sz="0" w:space="0" w:color="auto"/>
            <w:right w:val="none" w:sz="0" w:space="0" w:color="auto"/>
          </w:divBdr>
        </w:div>
        <w:div w:id="510140751">
          <w:marLeft w:val="1080"/>
          <w:marRight w:val="0"/>
          <w:marTop w:val="100"/>
          <w:marBottom w:val="0"/>
          <w:divBdr>
            <w:top w:val="none" w:sz="0" w:space="0" w:color="auto"/>
            <w:left w:val="none" w:sz="0" w:space="0" w:color="auto"/>
            <w:bottom w:val="none" w:sz="0" w:space="0" w:color="auto"/>
            <w:right w:val="none" w:sz="0" w:space="0" w:color="auto"/>
          </w:divBdr>
        </w:div>
        <w:div w:id="1197893164">
          <w:marLeft w:val="1800"/>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3001274">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3\Docs\R4-241813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13\Docs\R4-24181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70D47-AC4F-4007-A0B1-2BF0A433B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Sanjun Feng(vivo)</cp:lastModifiedBy>
  <cp:revision>3</cp:revision>
  <cp:lastPrinted>2010-01-07T02:23:00Z</cp:lastPrinted>
  <dcterms:created xsi:type="dcterms:W3CDTF">2025-02-07T08:03:00Z</dcterms:created>
  <dcterms:modified xsi:type="dcterms:W3CDTF">2025-02-07T11:41:00Z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